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85A33" w14:textId="5A035514" w:rsidR="00EF3C16" w:rsidRPr="00A3788A" w:rsidRDefault="007824FA" w:rsidP="00CA580B">
      <w:pPr>
        <w:pStyle w:val="Default"/>
        <w:jc w:val="center"/>
        <w:rPr>
          <w:b/>
          <w:bCs/>
          <w:sz w:val="22"/>
          <w:szCs w:val="22"/>
        </w:rPr>
      </w:pPr>
      <w:r>
        <w:rPr>
          <w:b/>
          <w:bCs/>
          <w:sz w:val="22"/>
          <w:szCs w:val="22"/>
        </w:rPr>
        <w:t xml:space="preserve">Canon to Creed </w:t>
      </w:r>
    </w:p>
    <w:p w14:paraId="18F850E5" w14:textId="3C5FCC07" w:rsidR="00141149" w:rsidRPr="00A3788A" w:rsidRDefault="00EF3C16" w:rsidP="00CA580B">
      <w:pPr>
        <w:jc w:val="center"/>
        <w:rPr>
          <w:b/>
          <w:bCs/>
          <w:szCs w:val="22"/>
          <w:lang w:val="en-GB"/>
        </w:rPr>
      </w:pPr>
      <w:r w:rsidRPr="00A3788A">
        <w:rPr>
          <w:b/>
          <w:bCs/>
          <w:szCs w:val="22"/>
          <w:lang w:val="en-GB"/>
        </w:rPr>
        <w:t>John Behr</w:t>
      </w:r>
    </w:p>
    <w:p w14:paraId="2D3A6329" w14:textId="746A662D" w:rsidR="00033F72" w:rsidRDefault="00033F72" w:rsidP="00CA580B">
      <w:pPr>
        <w:rPr>
          <w:szCs w:val="22"/>
        </w:rPr>
      </w:pPr>
      <w:r w:rsidRPr="00033F72">
        <w:rPr>
          <w:szCs w:val="22"/>
        </w:rPr>
        <w:t xml:space="preserve">The Council of Nicaea in 325, the anniversary of which we celebrate this year, is for many reasons one of the most significant events in the history of Christianity. It was, for instance, the first time that the </w:t>
      </w:r>
      <w:proofErr w:type="gramStart"/>
      <w:r w:rsidRPr="00033F72">
        <w:rPr>
          <w:szCs w:val="22"/>
        </w:rPr>
        <w:t>Emperor</w:t>
      </w:r>
      <w:proofErr w:type="gramEnd"/>
      <w:r w:rsidRPr="00033F72">
        <w:rPr>
          <w:szCs w:val="22"/>
        </w:rPr>
        <w:t xml:space="preserve"> had intervened in the affairs of the Christian church on such a large scale, facilitating what would thereafter be known as the First Ecumenical—that is, world-wide—Council. In addition to </w:t>
      </w:r>
      <w:proofErr w:type="gramStart"/>
      <w:r w:rsidRPr="00033F72">
        <w:rPr>
          <w:szCs w:val="22"/>
        </w:rPr>
        <w:t>a number of</w:t>
      </w:r>
      <w:proofErr w:type="gramEnd"/>
      <w:r w:rsidRPr="00033F72">
        <w:rPr>
          <w:szCs w:val="22"/>
        </w:rPr>
        <w:t xml:space="preserve"> practical matters, it also addressed the question of the date for the celebration of Pascha, the central feast of the Christian faith. And, of course, it produced the Nicaean Creed, that which became the most important statement of the Christian faith thereafter; even though it was eventually supplanted by the Creed promulgated by Council of Constantinople fifty-six years later, the Constantinopolitan Creed is regularly and simply called the Nicene Creed, for such is the significance of Nicaea. It is this Nicene-Constantinopolitan creed that is, as JND Kelly put it, ‘one of the few threads by which the tattered fragments of the divided robe of Christendom are held together</w:t>
      </w:r>
      <w:r w:rsidR="00AD4861">
        <w:rPr>
          <w:szCs w:val="22"/>
        </w:rPr>
        <w:t>.</w:t>
      </w:r>
      <w:r w:rsidRPr="00033F72">
        <w:rPr>
          <w:szCs w:val="22"/>
        </w:rPr>
        <w:t>’</w:t>
      </w:r>
      <w:r w:rsidR="00AD4861">
        <w:rPr>
          <w:rStyle w:val="FootnoteReference"/>
          <w:szCs w:val="22"/>
        </w:rPr>
        <w:footnoteReference w:id="1"/>
      </w:r>
      <w:r w:rsidRPr="00033F72">
        <w:rPr>
          <w:szCs w:val="22"/>
        </w:rPr>
        <w:t xml:space="preserve"> </w:t>
      </w:r>
    </w:p>
    <w:p w14:paraId="3ADD6011" w14:textId="77777777" w:rsidR="00CA580B" w:rsidRPr="00033F72" w:rsidRDefault="00CA580B" w:rsidP="00CA580B">
      <w:pPr>
        <w:rPr>
          <w:szCs w:val="22"/>
        </w:rPr>
      </w:pPr>
    </w:p>
    <w:p w14:paraId="33FAF8CF" w14:textId="77777777" w:rsidR="00033F72" w:rsidRPr="00033F72" w:rsidRDefault="00033F72" w:rsidP="00CA580B">
      <w:pPr>
        <w:rPr>
          <w:szCs w:val="22"/>
        </w:rPr>
      </w:pPr>
      <w:r w:rsidRPr="00033F72">
        <w:rPr>
          <w:szCs w:val="22"/>
        </w:rPr>
        <w:t>But what is it, and what is it about. There are three points I would like to make. First, what it is not; then, second, what it is; and then finally what it contains and its implications.</w:t>
      </w:r>
    </w:p>
    <w:p w14:paraId="7E4F1215" w14:textId="77777777" w:rsidR="00CA580B" w:rsidRDefault="00CA580B" w:rsidP="00CA580B">
      <w:pPr>
        <w:rPr>
          <w:b/>
          <w:bCs/>
          <w:szCs w:val="22"/>
        </w:rPr>
      </w:pPr>
    </w:p>
    <w:p w14:paraId="5172693C" w14:textId="59BB378D" w:rsidR="00891FF3" w:rsidRPr="00A3788A" w:rsidRDefault="00891FF3" w:rsidP="00CA580B">
      <w:pPr>
        <w:rPr>
          <w:b/>
          <w:bCs/>
          <w:szCs w:val="22"/>
        </w:rPr>
      </w:pPr>
      <w:r w:rsidRPr="00A3788A">
        <w:rPr>
          <w:b/>
          <w:bCs/>
          <w:szCs w:val="22"/>
        </w:rPr>
        <w:t>What the Creed is Not</w:t>
      </w:r>
    </w:p>
    <w:p w14:paraId="4A734136" w14:textId="347CB312" w:rsidR="00142C2E" w:rsidRDefault="00891FF3" w:rsidP="00CA580B">
      <w:pPr>
        <w:rPr>
          <w:szCs w:val="22"/>
        </w:rPr>
      </w:pPr>
      <w:r w:rsidRPr="00A3788A">
        <w:rPr>
          <w:szCs w:val="22"/>
        </w:rPr>
        <w:t>It might seem strange to start with what the creed is not. But this is important</w:t>
      </w:r>
      <w:r w:rsidR="00D07B87">
        <w:rPr>
          <w:szCs w:val="22"/>
        </w:rPr>
        <w:t xml:space="preserve">; after all, the Council of Nicaea was not (at the time) the First Ecumenical Council (not till there was a second!). More importantly, </w:t>
      </w:r>
      <w:r w:rsidR="00072EE1">
        <w:rPr>
          <w:szCs w:val="22"/>
        </w:rPr>
        <w:t xml:space="preserve">given </w:t>
      </w:r>
      <w:r w:rsidRPr="00A3788A">
        <w:rPr>
          <w:szCs w:val="22"/>
        </w:rPr>
        <w:t xml:space="preserve">the subsequent history of creeds, confessions, and articles of faith, </w:t>
      </w:r>
      <w:r w:rsidRPr="00033F72">
        <w:rPr>
          <w:szCs w:val="22"/>
        </w:rPr>
        <w:t>and</w:t>
      </w:r>
      <w:r w:rsidRPr="00A3788A">
        <w:rPr>
          <w:szCs w:val="22"/>
        </w:rPr>
        <w:t xml:space="preserve"> </w:t>
      </w:r>
      <w:r w:rsidR="00033F72">
        <w:rPr>
          <w:szCs w:val="22"/>
        </w:rPr>
        <w:t xml:space="preserve">also </w:t>
      </w:r>
      <w:r w:rsidR="00072EE1">
        <w:rPr>
          <w:szCs w:val="22"/>
        </w:rPr>
        <w:t xml:space="preserve">given </w:t>
      </w:r>
      <w:r w:rsidRPr="00A3788A">
        <w:rPr>
          <w:szCs w:val="22"/>
        </w:rPr>
        <w:t xml:space="preserve">the way in which theological discourse gained its own momentum, resulting in an ever more abstract and abstracted discourse, such that today </w:t>
      </w:r>
      <w:r w:rsidR="003F7DA8" w:rsidRPr="00A3788A">
        <w:rPr>
          <w:szCs w:val="22"/>
        </w:rPr>
        <w:t>systematics or dogmatics</w:t>
      </w:r>
      <w:r w:rsidRPr="00A3788A">
        <w:rPr>
          <w:szCs w:val="22"/>
        </w:rPr>
        <w:t xml:space="preserve"> is its own discipline within the broader umbrella of theology, distinct from (and even unrelated to) scriptural exegesis or liturgical theology</w:t>
      </w:r>
      <w:r w:rsidR="00033F72">
        <w:rPr>
          <w:szCs w:val="22"/>
        </w:rPr>
        <w:t>—</w:t>
      </w:r>
      <w:r w:rsidR="00072EE1">
        <w:rPr>
          <w:szCs w:val="22"/>
        </w:rPr>
        <w:t xml:space="preserve">given all this, </w:t>
      </w:r>
      <w:r w:rsidR="00033F72">
        <w:rPr>
          <w:szCs w:val="22"/>
        </w:rPr>
        <w:t>what those gathered together at Nicaea thought they were doing is not necessarily the same as it might appear to us centuries later</w:t>
      </w:r>
      <w:r w:rsidRPr="00A3788A">
        <w:rPr>
          <w:szCs w:val="22"/>
        </w:rPr>
        <w:t xml:space="preserve">. When settling upon the creed, with the word </w:t>
      </w:r>
      <w:r w:rsidRPr="00A3788A">
        <w:rPr>
          <w:i/>
          <w:iCs/>
          <w:szCs w:val="22"/>
        </w:rPr>
        <w:t>homoousios</w:t>
      </w:r>
      <w:r w:rsidRPr="00A3788A">
        <w:rPr>
          <w:szCs w:val="22"/>
        </w:rPr>
        <w:t xml:space="preserve"> added to a prior baptismal creed, </w:t>
      </w:r>
      <w:r w:rsidR="00964C4F" w:rsidRPr="00A3788A">
        <w:rPr>
          <w:szCs w:val="22"/>
        </w:rPr>
        <w:t>the fathers of the council were not setting down a series of theological propositions that could be used as building blocks for systematic theology—they were not developing ‘trinitarian theology’—, nor were they setting down a charter or set of articles that was to define a particular group and its identity; they were, of course, responding to a particular problem that had come to a head in Alexandria in the conflict between the bishop Alexander and the presbyter Arius, though one that was widespread throughout the empire (it is telling that Arius writes to his sympathizers as ‘fellow-Lucianists’ – after Lucian of Antioch).</w:t>
      </w:r>
    </w:p>
    <w:p w14:paraId="4E4C428B" w14:textId="77777777" w:rsidR="00CA580B" w:rsidRPr="00A3788A" w:rsidRDefault="00CA580B" w:rsidP="00CA580B">
      <w:pPr>
        <w:rPr>
          <w:szCs w:val="22"/>
        </w:rPr>
      </w:pPr>
    </w:p>
    <w:p w14:paraId="3875946B" w14:textId="665DFCA0" w:rsidR="00DC03D2" w:rsidRPr="00A3788A" w:rsidRDefault="007D61EC" w:rsidP="00CA580B">
      <w:pPr>
        <w:rPr>
          <w:szCs w:val="22"/>
        </w:rPr>
      </w:pPr>
      <w:r w:rsidRPr="00A3788A">
        <w:rPr>
          <w:b/>
          <w:bCs/>
          <w:szCs w:val="22"/>
        </w:rPr>
        <w:t xml:space="preserve">What the </w:t>
      </w:r>
      <w:r w:rsidR="00964C4F" w:rsidRPr="00A3788A">
        <w:rPr>
          <w:b/>
          <w:bCs/>
          <w:szCs w:val="22"/>
        </w:rPr>
        <w:t>C</w:t>
      </w:r>
      <w:r w:rsidRPr="00A3788A">
        <w:rPr>
          <w:b/>
          <w:bCs/>
          <w:szCs w:val="22"/>
        </w:rPr>
        <w:t xml:space="preserve">reed </w:t>
      </w:r>
      <w:r w:rsidR="00964C4F" w:rsidRPr="00A3788A">
        <w:rPr>
          <w:b/>
          <w:bCs/>
          <w:szCs w:val="22"/>
        </w:rPr>
        <w:t>I</w:t>
      </w:r>
      <w:r w:rsidRPr="00A3788A">
        <w:rPr>
          <w:b/>
          <w:bCs/>
          <w:szCs w:val="22"/>
        </w:rPr>
        <w:t xml:space="preserve">s </w:t>
      </w:r>
    </w:p>
    <w:p w14:paraId="25C5185B" w14:textId="43FA4CDE" w:rsidR="007D61EC" w:rsidRDefault="00964C4F" w:rsidP="00CA580B">
      <w:pPr>
        <w:rPr>
          <w:szCs w:val="22"/>
        </w:rPr>
      </w:pPr>
      <w:r w:rsidRPr="00A3788A">
        <w:rPr>
          <w:szCs w:val="22"/>
        </w:rPr>
        <w:t xml:space="preserve">So, my second point: what the creed in fact is. </w:t>
      </w:r>
      <w:r w:rsidR="00072EE1">
        <w:rPr>
          <w:szCs w:val="22"/>
        </w:rPr>
        <w:t xml:space="preserve">One should begin by noting </w:t>
      </w:r>
      <w:r w:rsidRPr="00A3788A">
        <w:rPr>
          <w:szCs w:val="22"/>
        </w:rPr>
        <w:t>that in responding to the problem at hand, the fathers of the council adopted what was probably the local baptismal creed, sharpening</w:t>
      </w:r>
      <w:r w:rsidR="00D07B87">
        <w:rPr>
          <w:szCs w:val="22"/>
        </w:rPr>
        <w:t>,</w:t>
      </w:r>
      <w:r w:rsidRPr="00A3788A">
        <w:rPr>
          <w:szCs w:val="22"/>
        </w:rPr>
        <w:t xml:space="preserve"> </w:t>
      </w:r>
      <w:r w:rsidR="003F7DA8" w:rsidRPr="00A3788A">
        <w:rPr>
          <w:szCs w:val="22"/>
        </w:rPr>
        <w:t xml:space="preserve">by the addition of the word </w:t>
      </w:r>
      <w:r w:rsidR="003F7DA8" w:rsidRPr="00A3788A">
        <w:rPr>
          <w:i/>
          <w:iCs/>
          <w:szCs w:val="22"/>
        </w:rPr>
        <w:t>homoousios</w:t>
      </w:r>
      <w:r w:rsidR="00D07B87">
        <w:rPr>
          <w:szCs w:val="22"/>
        </w:rPr>
        <w:t>,</w:t>
      </w:r>
      <w:r w:rsidR="003F7DA8" w:rsidRPr="00A3788A">
        <w:rPr>
          <w:i/>
          <w:iCs/>
          <w:szCs w:val="22"/>
        </w:rPr>
        <w:t xml:space="preserve"> </w:t>
      </w:r>
      <w:r w:rsidRPr="00A3788A">
        <w:rPr>
          <w:szCs w:val="22"/>
        </w:rPr>
        <w:t xml:space="preserve">one of its key points regarding the nature of Christ’s relation to the God and Father (to which I will return). Thus </w:t>
      </w:r>
      <w:r w:rsidR="006A5DED" w:rsidRPr="00A3788A">
        <w:rPr>
          <w:szCs w:val="22"/>
        </w:rPr>
        <w:t>the background of the creed</w:t>
      </w:r>
      <w:r w:rsidR="00BB1A90" w:rsidRPr="00A3788A">
        <w:rPr>
          <w:szCs w:val="22"/>
        </w:rPr>
        <w:t>, as a creed,</w:t>
      </w:r>
      <w:r w:rsidR="006A5DED" w:rsidRPr="00A3788A">
        <w:rPr>
          <w:szCs w:val="22"/>
        </w:rPr>
        <w:t xml:space="preserve"> is in baptism: the elements of the faith were taught to those preparing to enter the church during their preparation as catechumens, and, at baptism, </w:t>
      </w:r>
      <w:r w:rsidR="00BB1A90" w:rsidRPr="00A3788A">
        <w:rPr>
          <w:szCs w:val="22"/>
        </w:rPr>
        <w:t xml:space="preserve">they </w:t>
      </w:r>
      <w:r w:rsidR="006A5DED" w:rsidRPr="00A3788A">
        <w:rPr>
          <w:szCs w:val="22"/>
        </w:rPr>
        <w:t xml:space="preserve">were </w:t>
      </w:r>
      <w:r w:rsidR="00BB1A90" w:rsidRPr="00A3788A">
        <w:rPr>
          <w:szCs w:val="22"/>
        </w:rPr>
        <w:t xml:space="preserve">then </w:t>
      </w:r>
      <w:r w:rsidR="006A5DED" w:rsidRPr="00A3788A">
        <w:rPr>
          <w:szCs w:val="22"/>
        </w:rPr>
        <w:t xml:space="preserve">expected to say the creed themselves: it was a practice of tradition, handing over, and return, handing back: </w:t>
      </w:r>
      <w:proofErr w:type="spellStart"/>
      <w:r w:rsidR="006A5DED" w:rsidRPr="00A3788A">
        <w:rPr>
          <w:i/>
          <w:iCs/>
          <w:szCs w:val="22"/>
        </w:rPr>
        <w:t>traditio</w:t>
      </w:r>
      <w:proofErr w:type="spellEnd"/>
      <w:r w:rsidR="006A5DED" w:rsidRPr="00A3788A">
        <w:rPr>
          <w:i/>
          <w:iCs/>
          <w:szCs w:val="22"/>
        </w:rPr>
        <w:t xml:space="preserve"> et </w:t>
      </w:r>
      <w:proofErr w:type="spellStart"/>
      <w:r w:rsidR="006A5DED" w:rsidRPr="00A3788A">
        <w:rPr>
          <w:i/>
          <w:iCs/>
          <w:szCs w:val="22"/>
        </w:rPr>
        <w:t>reditio</w:t>
      </w:r>
      <w:proofErr w:type="spellEnd"/>
      <w:r w:rsidR="006A5DED" w:rsidRPr="00A3788A">
        <w:rPr>
          <w:szCs w:val="22"/>
        </w:rPr>
        <w:t xml:space="preserve">. </w:t>
      </w:r>
      <w:r w:rsidR="00BB1A90" w:rsidRPr="00A3788A">
        <w:rPr>
          <w:szCs w:val="22"/>
        </w:rPr>
        <w:t xml:space="preserve">This baptismal background means that the context of the creed is </w:t>
      </w:r>
      <w:r w:rsidR="006A5DED" w:rsidRPr="00A3788A">
        <w:rPr>
          <w:szCs w:val="22"/>
        </w:rPr>
        <w:t>conversion, a turn from living according to the world to living according to the Gospel.</w:t>
      </w:r>
    </w:p>
    <w:p w14:paraId="7CC645C3" w14:textId="77777777" w:rsidR="00CA580B" w:rsidRPr="00A3788A" w:rsidRDefault="00CA580B" w:rsidP="00CA580B">
      <w:pPr>
        <w:rPr>
          <w:szCs w:val="22"/>
        </w:rPr>
      </w:pPr>
    </w:p>
    <w:p w14:paraId="38D1D4D7" w14:textId="7463ACC6" w:rsidR="00964C4F" w:rsidRDefault="006A5DED" w:rsidP="00CA580B">
      <w:pPr>
        <w:rPr>
          <w:szCs w:val="22"/>
        </w:rPr>
      </w:pPr>
      <w:r w:rsidRPr="00A3788A">
        <w:rPr>
          <w:szCs w:val="22"/>
        </w:rPr>
        <w:t xml:space="preserve">Speaking of it as the ‘creed’ comes, of course, from the Latin word: </w:t>
      </w:r>
      <w:r w:rsidRPr="00A3788A">
        <w:rPr>
          <w:i/>
          <w:iCs/>
          <w:szCs w:val="22"/>
        </w:rPr>
        <w:t>credo</w:t>
      </w:r>
      <w:r w:rsidRPr="00A3788A">
        <w:rPr>
          <w:szCs w:val="22"/>
        </w:rPr>
        <w:t xml:space="preserve">, </w:t>
      </w:r>
      <w:r w:rsidR="00BB1A90" w:rsidRPr="00A3788A">
        <w:rPr>
          <w:szCs w:val="22"/>
        </w:rPr>
        <w:t>‘</w:t>
      </w:r>
      <w:r w:rsidRPr="00A3788A">
        <w:rPr>
          <w:szCs w:val="22"/>
        </w:rPr>
        <w:t>I believe</w:t>
      </w:r>
      <w:r w:rsidR="00BB1A90" w:rsidRPr="00A3788A">
        <w:rPr>
          <w:szCs w:val="22"/>
        </w:rPr>
        <w:t>’</w:t>
      </w:r>
      <w:r w:rsidRPr="00A3788A">
        <w:rPr>
          <w:szCs w:val="22"/>
        </w:rPr>
        <w:t xml:space="preserve">. In Greek, </w:t>
      </w:r>
      <w:r w:rsidR="003F7DA8" w:rsidRPr="00A3788A">
        <w:rPr>
          <w:szCs w:val="22"/>
        </w:rPr>
        <w:t xml:space="preserve">however, </w:t>
      </w:r>
      <w:r w:rsidRPr="00A3788A">
        <w:rPr>
          <w:szCs w:val="22"/>
        </w:rPr>
        <w:t xml:space="preserve">it is usually termed the </w:t>
      </w:r>
      <w:proofErr w:type="spellStart"/>
      <w:r w:rsidR="00CA580B">
        <w:rPr>
          <w:i/>
          <w:iCs/>
          <w:szCs w:val="22"/>
        </w:rPr>
        <w:t>sumbolon</w:t>
      </w:r>
      <w:proofErr w:type="spellEnd"/>
      <w:r w:rsidRPr="00A3788A">
        <w:rPr>
          <w:szCs w:val="22"/>
        </w:rPr>
        <w:t>. Here the word ‘symbol’ does not mean something that represents something else, a mark of absence. Rather</w:t>
      </w:r>
      <w:r w:rsidR="00072EE1">
        <w:rPr>
          <w:szCs w:val="22"/>
        </w:rPr>
        <w:t>,</w:t>
      </w:r>
      <w:r w:rsidRPr="00A3788A">
        <w:rPr>
          <w:szCs w:val="22"/>
        </w:rPr>
        <w:t xml:space="preserve"> coming from the verb </w:t>
      </w:r>
      <w:proofErr w:type="spellStart"/>
      <w:r w:rsidR="00CA580B">
        <w:rPr>
          <w:i/>
          <w:iCs/>
          <w:szCs w:val="22"/>
        </w:rPr>
        <w:t>sumballlein</w:t>
      </w:r>
      <w:proofErr w:type="spellEnd"/>
      <w:r w:rsidR="00CA580B">
        <w:rPr>
          <w:i/>
          <w:iCs/>
          <w:szCs w:val="22"/>
        </w:rPr>
        <w:t xml:space="preserve"> </w:t>
      </w:r>
      <w:r w:rsidRPr="00A3788A">
        <w:rPr>
          <w:szCs w:val="22"/>
        </w:rPr>
        <w:t xml:space="preserve">(to put together), </w:t>
      </w:r>
      <w:r w:rsidR="00BB1A90" w:rsidRPr="00A3788A">
        <w:rPr>
          <w:szCs w:val="22"/>
        </w:rPr>
        <w:t xml:space="preserve">the term ‘symbol’ originally referred to </w:t>
      </w:r>
      <w:r w:rsidRPr="00A3788A">
        <w:rPr>
          <w:szCs w:val="22"/>
        </w:rPr>
        <w:t>‘one half of an object—usually a piece of cloth, wood, or pottery—that is deliberately split in two and then allocated to the parties to an agreement’</w:t>
      </w:r>
      <w:r w:rsidR="00BB1A90" w:rsidRPr="00A3788A">
        <w:rPr>
          <w:szCs w:val="22"/>
        </w:rPr>
        <w:t xml:space="preserve">; </w:t>
      </w:r>
      <w:r w:rsidR="00BB1A90" w:rsidRPr="00A3788A">
        <w:rPr>
          <w:szCs w:val="22"/>
        </w:rPr>
        <w:lastRenderedPageBreak/>
        <w:t xml:space="preserve">as such it came to refer to </w:t>
      </w:r>
      <w:r w:rsidRPr="00A3788A">
        <w:rPr>
          <w:szCs w:val="22"/>
        </w:rPr>
        <w:t xml:space="preserve">an ‘agreement’, </w:t>
      </w:r>
      <w:r w:rsidR="00BB1A90" w:rsidRPr="00A3788A">
        <w:rPr>
          <w:szCs w:val="22"/>
        </w:rPr>
        <w:t>and then</w:t>
      </w:r>
      <w:r w:rsidRPr="00A3788A">
        <w:rPr>
          <w:szCs w:val="22"/>
        </w:rPr>
        <w:t xml:space="preserve"> ‘a token that allows entry’</w:t>
      </w:r>
      <w:r w:rsidR="00AD4861">
        <w:rPr>
          <w:szCs w:val="22"/>
        </w:rPr>
        <w:t>.</w:t>
      </w:r>
      <w:r w:rsidR="00AD4861">
        <w:rPr>
          <w:rStyle w:val="FootnoteReference"/>
          <w:szCs w:val="22"/>
        </w:rPr>
        <w:footnoteReference w:id="2"/>
      </w:r>
      <w:r w:rsidR="006D1A37" w:rsidRPr="00A3788A">
        <w:rPr>
          <w:szCs w:val="22"/>
        </w:rPr>
        <w:t xml:space="preserve"> Gathering representatives of churches throughout the inhabited world for the first time, the Symbol of Nicaea is their agreement in a</w:t>
      </w:r>
      <w:r w:rsidR="003F7DA8" w:rsidRPr="00A3788A">
        <w:rPr>
          <w:szCs w:val="22"/>
        </w:rPr>
        <w:t>n inherited</w:t>
      </w:r>
      <w:r w:rsidR="006D1A37" w:rsidRPr="00A3788A">
        <w:rPr>
          <w:szCs w:val="22"/>
        </w:rPr>
        <w:t xml:space="preserve"> shared faith, one that would enable each to recognize others as part of the one body. </w:t>
      </w:r>
    </w:p>
    <w:p w14:paraId="1016C994" w14:textId="77777777" w:rsidR="00CA580B" w:rsidRPr="00A3788A" w:rsidRDefault="00CA580B" w:rsidP="00CA580B">
      <w:pPr>
        <w:rPr>
          <w:szCs w:val="22"/>
        </w:rPr>
      </w:pPr>
    </w:p>
    <w:p w14:paraId="5EF9B5BE" w14:textId="7F70F1EB" w:rsidR="00A3788A" w:rsidRDefault="006D1A37" w:rsidP="00072EE1">
      <w:pPr>
        <w:rPr>
          <w:szCs w:val="22"/>
        </w:rPr>
      </w:pPr>
      <w:r w:rsidRPr="00A3788A">
        <w:rPr>
          <w:szCs w:val="22"/>
        </w:rPr>
        <w:t xml:space="preserve">There is one further element in the background of the creed that must be noted, and that is in the earlier idea of the ‘canon’. Although we use the word ‘canon’ to refer to the </w:t>
      </w:r>
      <w:r w:rsidR="005E228B" w:rsidRPr="00A3788A">
        <w:rPr>
          <w:szCs w:val="22"/>
        </w:rPr>
        <w:t>‘</w:t>
      </w:r>
      <w:r w:rsidRPr="00A3788A">
        <w:rPr>
          <w:szCs w:val="22"/>
        </w:rPr>
        <w:t>list</w:t>
      </w:r>
      <w:r w:rsidR="005E228B" w:rsidRPr="00A3788A">
        <w:rPr>
          <w:szCs w:val="22"/>
        </w:rPr>
        <w:t>’</w:t>
      </w:r>
      <w:r w:rsidRPr="00A3788A">
        <w:rPr>
          <w:szCs w:val="22"/>
        </w:rPr>
        <w:t xml:space="preserve"> of the books of Scripture (a</w:t>
      </w:r>
      <w:r w:rsidR="00072EE1">
        <w:rPr>
          <w:szCs w:val="22"/>
        </w:rPr>
        <w:t xml:space="preserve"> </w:t>
      </w:r>
      <w:r w:rsidRPr="00A3788A">
        <w:rPr>
          <w:szCs w:val="22"/>
        </w:rPr>
        <w:t xml:space="preserve">usage that only dates from </w:t>
      </w:r>
      <w:r w:rsidR="005E228B" w:rsidRPr="00A3788A">
        <w:rPr>
          <w:szCs w:val="22"/>
        </w:rPr>
        <w:t>1768</w:t>
      </w:r>
      <w:r w:rsidR="00072EE1">
        <w:rPr>
          <w:rStyle w:val="FootnoteReference"/>
          <w:szCs w:val="22"/>
        </w:rPr>
        <w:footnoteReference w:id="3"/>
      </w:r>
      <w:r w:rsidR="005E228B" w:rsidRPr="00A3788A">
        <w:rPr>
          <w:szCs w:val="22"/>
        </w:rPr>
        <w:t xml:space="preserve">), the word does not (and cannot) mean </w:t>
      </w:r>
      <w:r w:rsidR="00072EE1">
        <w:rPr>
          <w:szCs w:val="22"/>
        </w:rPr>
        <w:t>‘</w:t>
      </w:r>
      <w:r w:rsidR="005E228B" w:rsidRPr="00A3788A">
        <w:rPr>
          <w:szCs w:val="22"/>
        </w:rPr>
        <w:t>list</w:t>
      </w:r>
      <w:r w:rsidR="00072EE1">
        <w:rPr>
          <w:szCs w:val="22"/>
        </w:rPr>
        <w:t xml:space="preserve">’. </w:t>
      </w:r>
      <w:r w:rsidR="00A3788A" w:rsidRPr="007C5AF0">
        <w:rPr>
          <w:szCs w:val="22"/>
        </w:rPr>
        <w:t>Besides the mention of ‘canon’ in Gal 6:16 (</w:t>
      </w:r>
      <w:r w:rsidR="00072EE1">
        <w:rPr>
          <w:szCs w:val="22"/>
        </w:rPr>
        <w:t>‘</w:t>
      </w:r>
      <w:r w:rsidR="00A3788A" w:rsidRPr="007C5AF0">
        <w:rPr>
          <w:szCs w:val="22"/>
        </w:rPr>
        <w:t>all those who walk by this rule</w:t>
      </w:r>
      <w:r w:rsidR="00072EE1">
        <w:rPr>
          <w:szCs w:val="22"/>
        </w:rPr>
        <w:t>/</w:t>
      </w:r>
      <w:r w:rsidR="00072EE1">
        <w:rPr>
          <w:i/>
          <w:iCs/>
          <w:szCs w:val="22"/>
        </w:rPr>
        <w:t>canon</w:t>
      </w:r>
      <w:r w:rsidR="00072EE1">
        <w:rPr>
          <w:szCs w:val="22"/>
        </w:rPr>
        <w:t>’</w:t>
      </w:r>
      <w:r w:rsidR="00A3788A" w:rsidRPr="007C5AF0">
        <w:rPr>
          <w:szCs w:val="22"/>
        </w:rPr>
        <w:t>) we only have two brief mentions of the word ‘canon’ before we find it fully developed with Irenaeus of Lyons in the late second century and then slightly later with Tertullian and Clement of Alexandria.</w:t>
      </w:r>
    </w:p>
    <w:p w14:paraId="1098BCE1" w14:textId="77777777" w:rsidR="00CA580B" w:rsidRPr="007C5AF0" w:rsidRDefault="00CA580B" w:rsidP="00CA580B">
      <w:pPr>
        <w:rPr>
          <w:szCs w:val="22"/>
        </w:rPr>
      </w:pPr>
    </w:p>
    <w:p w14:paraId="2CBE1C08" w14:textId="266C6BFE" w:rsidR="00A3788A" w:rsidRPr="007C5AF0" w:rsidRDefault="00A3788A" w:rsidP="00CA580B">
      <w:pPr>
        <w:rPr>
          <w:szCs w:val="22"/>
        </w:rPr>
      </w:pPr>
      <w:r w:rsidRPr="007C5AF0">
        <w:rPr>
          <w:szCs w:val="22"/>
        </w:rPr>
        <w:t xml:space="preserve">The first mention is in the </w:t>
      </w:r>
      <w:r w:rsidRPr="007C5AF0">
        <w:rPr>
          <w:i/>
          <w:iCs/>
          <w:szCs w:val="22"/>
        </w:rPr>
        <w:t>First Epistle of Clement</w:t>
      </w:r>
      <w:r w:rsidRPr="007C5AF0">
        <w:rPr>
          <w:szCs w:val="22"/>
        </w:rPr>
        <w:t>, writ</w:t>
      </w:r>
      <w:r w:rsidR="00072EE1">
        <w:rPr>
          <w:szCs w:val="22"/>
        </w:rPr>
        <w:t>ten</w:t>
      </w:r>
      <w:r w:rsidRPr="007C5AF0">
        <w:rPr>
          <w:szCs w:val="22"/>
        </w:rPr>
        <w:t xml:space="preserve"> to those in Corinth, amongst who</w:t>
      </w:r>
      <w:r w:rsidR="00072EE1">
        <w:rPr>
          <w:szCs w:val="22"/>
        </w:rPr>
        <w:t>m</w:t>
      </w:r>
      <w:r w:rsidRPr="007C5AF0">
        <w:rPr>
          <w:szCs w:val="22"/>
        </w:rPr>
        <w:t xml:space="preserve"> strife had arisen in matters of leadership. Clement of Rome urges them: </w:t>
      </w:r>
    </w:p>
    <w:p w14:paraId="629A6479" w14:textId="249E38C8" w:rsidR="00A3788A" w:rsidRPr="007C5AF0" w:rsidRDefault="00A3788A" w:rsidP="00CA580B">
      <w:pPr>
        <w:tabs>
          <w:tab w:val="left" w:pos="-720"/>
        </w:tabs>
        <w:suppressAutoHyphens/>
        <w:ind w:left="720"/>
        <w:rPr>
          <w:szCs w:val="22"/>
          <w:lang w:val="en-GB"/>
        </w:rPr>
      </w:pPr>
      <w:r w:rsidRPr="007C5AF0">
        <w:rPr>
          <w:szCs w:val="22"/>
          <w:lang w:val="en-GB"/>
        </w:rPr>
        <w:t xml:space="preserve">Let us put aside empty and vain </w:t>
      </w:r>
      <w:proofErr w:type="gramStart"/>
      <w:r w:rsidRPr="007C5AF0">
        <w:rPr>
          <w:szCs w:val="22"/>
          <w:lang w:val="en-GB"/>
        </w:rPr>
        <w:t>cares, and</w:t>
      </w:r>
      <w:proofErr w:type="gramEnd"/>
      <w:r w:rsidRPr="007C5AF0">
        <w:rPr>
          <w:szCs w:val="22"/>
          <w:lang w:val="en-GB"/>
        </w:rPr>
        <w:t xml:space="preserve"> let us come to the glorious and venerable rule </w:t>
      </w:r>
      <w:r w:rsidR="00CA580B">
        <w:rPr>
          <w:szCs w:val="22"/>
          <w:lang w:val="en-GB"/>
        </w:rPr>
        <w:t>[</w:t>
      </w:r>
      <w:r w:rsidR="00CA580B">
        <w:rPr>
          <w:i/>
          <w:iCs/>
          <w:szCs w:val="22"/>
          <w:lang w:val="en-GB"/>
        </w:rPr>
        <w:t>canon</w:t>
      </w:r>
      <w:r w:rsidR="00CA580B">
        <w:rPr>
          <w:szCs w:val="22"/>
          <w:lang w:val="en-GB"/>
        </w:rPr>
        <w:t xml:space="preserve">] </w:t>
      </w:r>
      <w:r w:rsidRPr="007C5AF0">
        <w:rPr>
          <w:szCs w:val="22"/>
          <w:lang w:val="en-GB"/>
        </w:rPr>
        <w:t>of our tradition, and let us see what is good and pleasing and acceptable in the sight of our Maker. Let us fix our gaze on the Blood of Christ and let us know that it is precious to his Father, because it was poured out for our salvation, and brought the grace of repentance to all the world.</w:t>
      </w:r>
      <w:r w:rsidR="0046597C">
        <w:rPr>
          <w:rStyle w:val="FootnoteReference"/>
          <w:szCs w:val="22"/>
          <w:lang w:val="en-GB"/>
        </w:rPr>
        <w:footnoteReference w:id="4"/>
      </w:r>
      <w:r w:rsidRPr="007C5AF0">
        <w:rPr>
          <w:szCs w:val="22"/>
          <w:lang w:val="en-GB"/>
        </w:rPr>
        <w:t xml:space="preserve"> </w:t>
      </w:r>
    </w:p>
    <w:p w14:paraId="50AB2167" w14:textId="3CF7E152" w:rsidR="00A3788A" w:rsidRPr="00CA580B" w:rsidRDefault="00A3788A" w:rsidP="00CA580B">
      <w:pPr>
        <w:rPr>
          <w:szCs w:val="22"/>
        </w:rPr>
      </w:pPr>
      <w:r w:rsidRPr="007C5AF0">
        <w:rPr>
          <w:szCs w:val="22"/>
        </w:rPr>
        <w:t xml:space="preserve">It is not exactly clear to what this canon refers, though the parallel with fixing our gaze on the Blood of Christ, suggests a Paschal (or perhaps Eucharistic) reference. The second mention we have is </w:t>
      </w:r>
      <w:proofErr w:type="gramStart"/>
      <w:r w:rsidRPr="007C5AF0">
        <w:rPr>
          <w:szCs w:val="22"/>
        </w:rPr>
        <w:t>definitely in</w:t>
      </w:r>
      <w:proofErr w:type="gramEnd"/>
      <w:r w:rsidRPr="007C5AF0">
        <w:rPr>
          <w:szCs w:val="22"/>
        </w:rPr>
        <w:t xml:space="preserve"> a paschal context. When, in the last decades of the second century</w:t>
      </w:r>
      <w:r w:rsidR="00072EE1">
        <w:rPr>
          <w:szCs w:val="22"/>
        </w:rPr>
        <w:t>,</w:t>
      </w:r>
      <w:r w:rsidRPr="007C5AF0">
        <w:rPr>
          <w:szCs w:val="22"/>
        </w:rPr>
        <w:t xml:space="preserve"> Victor of Rome tried to quash the practice of celebrating Pascha on the 14</w:t>
      </w:r>
      <w:r w:rsidR="0046597C" w:rsidRPr="0046597C">
        <w:rPr>
          <w:szCs w:val="22"/>
          <w:vertAlign w:val="superscript"/>
        </w:rPr>
        <w:t>th</w:t>
      </w:r>
      <w:r w:rsidR="0046597C">
        <w:rPr>
          <w:szCs w:val="22"/>
        </w:rPr>
        <w:t xml:space="preserve"> </w:t>
      </w:r>
      <w:r w:rsidRPr="007C5AF0">
        <w:rPr>
          <w:szCs w:val="22"/>
        </w:rPr>
        <w:t>Nissan, Polycrates of Ephesus wrote back to him, mentioning a number of names of those in Asia who had kept this practice (Philip, Polycarp, Melito etc</w:t>
      </w:r>
      <w:r w:rsidR="0046597C">
        <w:rPr>
          <w:szCs w:val="22"/>
        </w:rPr>
        <w:t>.</w:t>
      </w:r>
      <w:r w:rsidRPr="007C5AF0">
        <w:rPr>
          <w:szCs w:val="22"/>
        </w:rPr>
        <w:t xml:space="preserve">) going back to John, ‘who lay on the Lord’s bread and was a priest wearing the </w:t>
      </w:r>
      <w:proofErr w:type="spellStart"/>
      <w:r w:rsidRPr="007C5AF0">
        <w:rPr>
          <w:szCs w:val="22"/>
        </w:rPr>
        <w:t>petalon</w:t>
      </w:r>
      <w:proofErr w:type="spellEnd"/>
      <w:r w:rsidRPr="007C5AF0">
        <w:rPr>
          <w:szCs w:val="22"/>
        </w:rPr>
        <w:t>’ (</w:t>
      </w:r>
      <w:r w:rsidR="0046597C">
        <w:rPr>
          <w:szCs w:val="22"/>
        </w:rPr>
        <w:t>that is, the golden leaf worn by the High Priest of the Temple when entering the Holy of Holies</w:t>
      </w:r>
      <w:r w:rsidRPr="007C5AF0">
        <w:rPr>
          <w:szCs w:val="22"/>
        </w:rPr>
        <w:t>)</w:t>
      </w:r>
      <w:r w:rsidR="00072EE1">
        <w:rPr>
          <w:szCs w:val="22"/>
        </w:rPr>
        <w:t>.</w:t>
      </w:r>
      <w:r w:rsidRPr="007C5AF0">
        <w:rPr>
          <w:szCs w:val="22"/>
        </w:rPr>
        <w:t xml:space="preserve"> Polycrates </w:t>
      </w:r>
      <w:r w:rsidR="00072EE1">
        <w:rPr>
          <w:szCs w:val="22"/>
        </w:rPr>
        <w:t xml:space="preserve">then </w:t>
      </w:r>
      <w:r w:rsidRPr="007C5AF0">
        <w:rPr>
          <w:szCs w:val="22"/>
        </w:rPr>
        <w:t>asserts that all these:</w:t>
      </w:r>
      <w:r w:rsidR="00CA580B">
        <w:rPr>
          <w:szCs w:val="22"/>
        </w:rPr>
        <w:t xml:space="preserve"> </w:t>
      </w:r>
      <w:r w:rsidRPr="007C5AF0">
        <w:rPr>
          <w:bCs/>
          <w:szCs w:val="22"/>
        </w:rPr>
        <w:t>‘</w:t>
      </w:r>
      <w:r w:rsidRPr="007C5AF0">
        <w:rPr>
          <w:szCs w:val="22"/>
        </w:rPr>
        <w:t>All these kept the fourteenth day of the Passover according to the Gospel, never swerving, but following the canon of the faith.’</w:t>
      </w:r>
      <w:r w:rsidR="0046597C">
        <w:rPr>
          <w:rStyle w:val="FootnoteReference"/>
          <w:szCs w:val="22"/>
        </w:rPr>
        <w:footnoteReference w:id="5"/>
      </w:r>
      <w:r w:rsidRPr="007C5AF0">
        <w:rPr>
          <w:szCs w:val="22"/>
        </w:rPr>
        <w:t xml:space="preserve"> </w:t>
      </w:r>
    </w:p>
    <w:p w14:paraId="057357CE" w14:textId="77777777" w:rsidR="00D07B87" w:rsidRPr="007C5AF0" w:rsidRDefault="00D07B87" w:rsidP="00CA580B">
      <w:pPr>
        <w:rPr>
          <w:b/>
          <w:bCs/>
          <w:szCs w:val="22"/>
        </w:rPr>
      </w:pPr>
    </w:p>
    <w:p w14:paraId="76D5A226" w14:textId="77777777" w:rsidR="00A3788A" w:rsidRPr="007C5AF0" w:rsidRDefault="00A3788A" w:rsidP="00CA580B">
      <w:pPr>
        <w:rPr>
          <w:b/>
          <w:bCs/>
          <w:szCs w:val="22"/>
        </w:rPr>
      </w:pPr>
      <w:r w:rsidRPr="007C5AF0">
        <w:rPr>
          <w:b/>
          <w:bCs/>
          <w:szCs w:val="22"/>
        </w:rPr>
        <w:t>Irenaeus</w:t>
      </w:r>
    </w:p>
    <w:p w14:paraId="7CBA925F" w14:textId="3C2C1FC2" w:rsidR="00A3788A" w:rsidRPr="007C5AF0" w:rsidRDefault="00A3788A" w:rsidP="00CA580B">
      <w:pPr>
        <w:rPr>
          <w:bCs/>
          <w:iCs/>
          <w:szCs w:val="22"/>
          <w:lang w:val="en-GB"/>
        </w:rPr>
      </w:pPr>
      <w:r w:rsidRPr="007C5AF0">
        <w:rPr>
          <w:bCs/>
          <w:iCs/>
          <w:szCs w:val="22"/>
          <w:lang w:val="en-GB"/>
        </w:rPr>
        <w:t xml:space="preserve">It really is Irenaeus in whom we first see the full and proper appeal to a ‘canon of truth’. He opens his magnum opus </w:t>
      </w:r>
      <w:r w:rsidRPr="007C5AF0">
        <w:rPr>
          <w:bCs/>
          <w:i/>
          <w:szCs w:val="22"/>
          <w:lang w:val="en-GB"/>
        </w:rPr>
        <w:t>Refutation and Overthrowal of Knowledge Falsely so-called</w:t>
      </w:r>
      <w:r w:rsidRPr="007C5AF0">
        <w:rPr>
          <w:bCs/>
          <w:iCs/>
          <w:szCs w:val="22"/>
          <w:lang w:val="en-GB"/>
        </w:rPr>
        <w:t>, with seven chapters relating the teaching of his opponents (the ‘Gnostics’—which I won’t recount here).</w:t>
      </w:r>
      <w:r w:rsidR="0046597C">
        <w:rPr>
          <w:rStyle w:val="FootnoteReference"/>
          <w:bCs/>
          <w:iCs/>
          <w:szCs w:val="22"/>
          <w:lang w:val="en-GB"/>
        </w:rPr>
        <w:footnoteReference w:id="6"/>
      </w:r>
      <w:r w:rsidRPr="007C5AF0">
        <w:rPr>
          <w:bCs/>
          <w:iCs/>
          <w:szCs w:val="22"/>
          <w:lang w:val="en-GB"/>
        </w:rPr>
        <w:t xml:space="preserve"> He then continues with a well-known striking visual image:</w:t>
      </w:r>
    </w:p>
    <w:p w14:paraId="1A891D3A" w14:textId="0BC32CD0" w:rsidR="00A3788A" w:rsidRPr="007C5AF0" w:rsidRDefault="00A3788A" w:rsidP="00CA580B">
      <w:pPr>
        <w:ind w:left="720"/>
        <w:rPr>
          <w:szCs w:val="22"/>
          <w:lang w:val="en-GB"/>
        </w:rPr>
      </w:pPr>
      <w:r w:rsidRPr="007C5AF0">
        <w:rPr>
          <w:szCs w:val="22"/>
          <w:lang w:val="en-GB"/>
        </w:rPr>
        <w:t xml:space="preserve">Such is their </w:t>
      </w:r>
      <w:r w:rsidRPr="00D07B87">
        <w:rPr>
          <w:i/>
          <w:iCs/>
          <w:szCs w:val="22"/>
          <w:lang w:val="en-GB"/>
        </w:rPr>
        <w:t>hypothesis</w:t>
      </w:r>
      <w:r w:rsidRPr="007C5AF0">
        <w:rPr>
          <w:szCs w:val="22"/>
          <w:lang w:val="en-GB"/>
        </w:rPr>
        <w:t xml:space="preserve"> which neither the prophets preached, nor the Lord taught, nor the apostles handed down. They boast rather loudly of knowing more about it than others do, citing it from non-Scriptural [works]; and as people would say, they attempt to braid ropes of sand. They try to adapt to their own sayings in a manner worthy of credence, either the dominical parables or the prophets</w:t>
      </w:r>
      <w:r w:rsidR="0046597C">
        <w:rPr>
          <w:szCs w:val="22"/>
          <w:lang w:val="en-GB"/>
        </w:rPr>
        <w:t>’</w:t>
      </w:r>
      <w:r w:rsidRPr="007C5AF0">
        <w:rPr>
          <w:szCs w:val="22"/>
          <w:lang w:val="en-GB"/>
        </w:rPr>
        <w:t xml:space="preserve"> sayings, or the apostles’ words, so that their fabrication might not appear to be without witness. They disregard the order and the connection of the Scriptures and, as much as in them lies, they disjoint the members of the truth. They transfer passages and rearrange them, and, making one thing out of another, they deceive many by the badly composed fantasy of the dominical oracles that they adapt. By way of illustration, suppose someone would take the beautiful image of a king, carefully made out of precious stones by a skilful artist, and would destroy the features of the man on it and change it around </w:t>
      </w:r>
      <w:r w:rsidRPr="007C5AF0">
        <w:rPr>
          <w:szCs w:val="22"/>
          <w:lang w:val="en-GB"/>
        </w:rPr>
        <w:lastRenderedPageBreak/>
        <w:t xml:space="preserve">and rearrange the jewels, and make the form of a dog or of a fox out of them, and that rather a bad piece of work. Suppose he would then say with determination that this is the beautiful image of the king that the skilful artist had made, and at the same time pointing to the jewels which had been beautifully fitted together by the first artist into the image of the king, but which had been badly changed by the second into the form of a dog. And suppose he would through this fanciful arrangement of the jewels deceive the inexperienced who had no idea of what the king’s picture looked </w:t>
      </w:r>
      <w:proofErr w:type="gramStart"/>
      <w:r w:rsidRPr="007C5AF0">
        <w:rPr>
          <w:szCs w:val="22"/>
          <w:lang w:val="en-GB"/>
        </w:rPr>
        <w:t>like, and</w:t>
      </w:r>
      <w:proofErr w:type="gramEnd"/>
      <w:r w:rsidRPr="007C5AF0">
        <w:rPr>
          <w:szCs w:val="22"/>
          <w:lang w:val="en-GB"/>
        </w:rPr>
        <w:t xml:space="preserve"> would persuade them that this base picture of a fox is that beautiful image of the king. In the same way these people patch together old women’s </w:t>
      </w:r>
      <w:proofErr w:type="gramStart"/>
      <w:r w:rsidRPr="007C5AF0">
        <w:rPr>
          <w:szCs w:val="22"/>
          <w:lang w:val="en-GB"/>
        </w:rPr>
        <w:t>fables, and</w:t>
      </w:r>
      <w:proofErr w:type="gramEnd"/>
      <w:r w:rsidRPr="007C5AF0">
        <w:rPr>
          <w:szCs w:val="22"/>
          <w:lang w:val="en-GB"/>
        </w:rPr>
        <w:t xml:space="preserve"> then pluck words and sayings and parables from here and there and wish to adapt these oracles of God to their myths. </w:t>
      </w:r>
      <w:r w:rsidR="0046597C">
        <w:rPr>
          <w:szCs w:val="22"/>
          <w:lang w:val="en-GB"/>
        </w:rPr>
        <w:t>(</w:t>
      </w:r>
      <w:r w:rsidR="0046597C">
        <w:rPr>
          <w:i/>
          <w:szCs w:val="22"/>
          <w:lang w:val="en-GB"/>
        </w:rPr>
        <w:t>H</w:t>
      </w:r>
      <w:r w:rsidRPr="007C5AF0">
        <w:rPr>
          <w:i/>
          <w:szCs w:val="22"/>
          <w:lang w:val="en-GB"/>
        </w:rPr>
        <w:t xml:space="preserve">aer. </w:t>
      </w:r>
      <w:r w:rsidRPr="007C5AF0">
        <w:rPr>
          <w:szCs w:val="22"/>
          <w:lang w:val="en-GB"/>
        </w:rPr>
        <w:t>1.8.1)</w:t>
      </w:r>
    </w:p>
    <w:p w14:paraId="02F672FD" w14:textId="119F9512" w:rsidR="00A3788A" w:rsidRPr="00AD4861" w:rsidRDefault="00A3788A" w:rsidP="00CA580B">
      <w:pPr>
        <w:rPr>
          <w:bCs/>
          <w:iCs/>
          <w:szCs w:val="22"/>
          <w:lang w:val="en-GB"/>
        </w:rPr>
      </w:pPr>
      <w:r w:rsidRPr="007C5AF0">
        <w:rPr>
          <w:bCs/>
          <w:iCs/>
          <w:szCs w:val="22"/>
          <w:lang w:val="en-GB"/>
        </w:rPr>
        <w:t>The terms that Irenaeus uses here</w:t>
      </w:r>
      <w:proofErr w:type="gramStart"/>
      <w:r w:rsidRPr="007C5AF0">
        <w:rPr>
          <w:bCs/>
          <w:iCs/>
          <w:szCs w:val="22"/>
          <w:lang w:val="en-GB"/>
        </w:rPr>
        <w:t>—‘</w:t>
      </w:r>
      <w:proofErr w:type="gramEnd"/>
      <w:r w:rsidRPr="007C5AF0">
        <w:rPr>
          <w:bCs/>
          <w:iCs/>
          <w:szCs w:val="22"/>
          <w:lang w:val="en-GB"/>
        </w:rPr>
        <w:t>hypothesis’, ‘fabrication’, and ‘myth’—are all technical terms in Hellenistic literary theory and philosophical epistemology.</w:t>
      </w:r>
      <w:r w:rsidR="00AD4861">
        <w:rPr>
          <w:bCs/>
          <w:iCs/>
          <w:szCs w:val="22"/>
          <w:lang w:val="en-GB"/>
        </w:rPr>
        <w:t xml:space="preserve"> </w:t>
      </w:r>
      <w:r w:rsidRPr="007C5AF0">
        <w:rPr>
          <w:bCs/>
          <w:iCs/>
          <w:szCs w:val="22"/>
          <w:lang w:val="en-GB"/>
        </w:rPr>
        <w:t>The most important term for us is ‘hypothesis’</w:t>
      </w:r>
      <w:r w:rsidR="00AD4861">
        <w:rPr>
          <w:bCs/>
          <w:iCs/>
          <w:szCs w:val="22"/>
          <w:lang w:val="en-GB"/>
        </w:rPr>
        <w:t xml:space="preserve">. </w:t>
      </w:r>
      <w:r w:rsidR="00072EE1">
        <w:rPr>
          <w:bCs/>
          <w:iCs/>
          <w:szCs w:val="22"/>
          <w:lang w:val="en-GB"/>
        </w:rPr>
        <w:t xml:space="preserve">Although </w:t>
      </w:r>
      <w:proofErr w:type="gramStart"/>
      <w:r w:rsidR="00072EE1">
        <w:rPr>
          <w:bCs/>
          <w:iCs/>
          <w:szCs w:val="22"/>
          <w:lang w:val="en-GB"/>
        </w:rPr>
        <w:t>is</w:t>
      </w:r>
      <w:proofErr w:type="gramEnd"/>
      <w:r w:rsidR="00072EE1">
        <w:rPr>
          <w:bCs/>
          <w:iCs/>
          <w:szCs w:val="22"/>
          <w:lang w:val="en-GB"/>
        </w:rPr>
        <w:t xml:space="preserve"> was sometimes translated as ‘system’</w:t>
      </w:r>
      <w:r w:rsidRPr="007C5AF0">
        <w:rPr>
          <w:szCs w:val="22"/>
          <w:lang w:val="en-GB"/>
        </w:rPr>
        <w:t>,</w:t>
      </w:r>
      <w:r w:rsidR="00AD4861">
        <w:rPr>
          <w:bCs/>
          <w:iCs/>
          <w:szCs w:val="22"/>
          <w:lang w:val="en-GB"/>
        </w:rPr>
        <w:t xml:space="preserve"> </w:t>
      </w:r>
      <w:r w:rsidRPr="007C5AF0">
        <w:rPr>
          <w:szCs w:val="22"/>
          <w:lang w:val="en-GB"/>
        </w:rPr>
        <w:t>it really means ‘that which is posited’, a ‘supposition’ or ‘pre-supposition’.</w:t>
      </w:r>
      <w:r w:rsidR="00AD4861">
        <w:rPr>
          <w:bCs/>
          <w:iCs/>
          <w:szCs w:val="22"/>
          <w:lang w:val="en-GB"/>
        </w:rPr>
        <w:t xml:space="preserve"> </w:t>
      </w:r>
      <w:r w:rsidRPr="007C5AF0">
        <w:rPr>
          <w:bCs/>
          <w:iCs/>
          <w:szCs w:val="22"/>
          <w:lang w:val="en-GB"/>
        </w:rPr>
        <w:t>H</w:t>
      </w:r>
      <w:r w:rsidRPr="007C5AF0">
        <w:rPr>
          <w:szCs w:val="22"/>
          <w:lang w:val="en-GB"/>
        </w:rPr>
        <w:t xml:space="preserve">is opponents, Irenaeus says, have based their exegesis upon their own ‘hypothesis’, rather than that foretold by the prophets, taught by Christ and delivered (‘traditioned’) by the apostles. </w:t>
      </w:r>
    </w:p>
    <w:p w14:paraId="43A610FA" w14:textId="77777777" w:rsidR="00A3788A" w:rsidRPr="007C5AF0" w:rsidRDefault="00A3788A" w:rsidP="00CA580B">
      <w:pPr>
        <w:rPr>
          <w:szCs w:val="22"/>
          <w:lang w:val="en-GB"/>
        </w:rPr>
      </w:pPr>
    </w:p>
    <w:p w14:paraId="42644AC9" w14:textId="17D96EC0" w:rsidR="00A3788A" w:rsidRPr="00AD4861" w:rsidRDefault="00A3788A" w:rsidP="00CA580B">
      <w:pPr>
        <w:rPr>
          <w:szCs w:val="22"/>
          <w:lang w:val="en-GB"/>
        </w:rPr>
      </w:pPr>
      <w:r w:rsidRPr="007C5AF0">
        <w:rPr>
          <w:szCs w:val="22"/>
          <w:lang w:val="en-GB"/>
        </w:rPr>
        <w:t>In a literary context, the term ‘hypothesis’ refer</w:t>
      </w:r>
      <w:r>
        <w:rPr>
          <w:szCs w:val="22"/>
          <w:lang w:val="en-GB"/>
        </w:rPr>
        <w:t>s</w:t>
      </w:r>
      <w:r w:rsidRPr="007C5AF0">
        <w:rPr>
          <w:szCs w:val="22"/>
          <w:lang w:val="en-GB"/>
        </w:rPr>
        <w:t xml:space="preserve"> to the plot or outline of a drama or epic</w:t>
      </w:r>
      <w:r>
        <w:rPr>
          <w:szCs w:val="22"/>
          <w:lang w:val="en-GB"/>
        </w:rPr>
        <w:t>:</w:t>
      </w:r>
      <w:r w:rsidRPr="007C5AF0">
        <w:rPr>
          <w:szCs w:val="22"/>
          <w:lang w:val="en-GB"/>
        </w:rPr>
        <w:t xml:space="preserve"> </w:t>
      </w:r>
      <w:r>
        <w:rPr>
          <w:szCs w:val="22"/>
          <w:lang w:val="en-GB"/>
        </w:rPr>
        <w:t>i</w:t>
      </w:r>
      <w:r w:rsidRPr="007C5AF0">
        <w:rPr>
          <w:szCs w:val="22"/>
          <w:lang w:val="en-GB"/>
        </w:rPr>
        <w:t xml:space="preserve">t is </w:t>
      </w:r>
      <w:r w:rsidR="00072EE1">
        <w:rPr>
          <w:szCs w:val="22"/>
          <w:lang w:val="en-GB"/>
        </w:rPr>
        <w:t xml:space="preserve">that which is </w:t>
      </w:r>
      <w:r w:rsidRPr="007C5AF0">
        <w:rPr>
          <w:szCs w:val="22"/>
          <w:lang w:val="en-GB"/>
        </w:rPr>
        <w:t>posited or presupposed by the poet as the basic outline for his subsequent creative work.</w:t>
      </w:r>
      <w:r w:rsidR="0046597C">
        <w:rPr>
          <w:rStyle w:val="FootnoteReference"/>
          <w:szCs w:val="22"/>
          <w:lang w:val="en-GB"/>
        </w:rPr>
        <w:footnoteReference w:id="7"/>
      </w:r>
      <w:r w:rsidRPr="007C5AF0">
        <w:rPr>
          <w:szCs w:val="22"/>
          <w:lang w:val="en-GB"/>
        </w:rPr>
        <w:t xml:space="preserve"> It is not derived from reasoning but rather provides the raw outline upon which the poet can exercise his talents.</w:t>
      </w:r>
      <w:r w:rsidR="00AD4861">
        <w:rPr>
          <w:szCs w:val="22"/>
          <w:lang w:val="en-GB"/>
        </w:rPr>
        <w:t xml:space="preserve"> </w:t>
      </w:r>
      <w:r>
        <w:rPr>
          <w:szCs w:val="22"/>
          <w:lang w:val="en-GB"/>
        </w:rPr>
        <w:t xml:space="preserve">So, in this case, </w:t>
      </w:r>
      <w:r w:rsidRPr="007C5AF0">
        <w:rPr>
          <w:szCs w:val="22"/>
          <w:lang w:val="en-GB"/>
        </w:rPr>
        <w:t>Irenaeus</w:t>
      </w:r>
      <w:r>
        <w:rPr>
          <w:szCs w:val="22"/>
          <w:lang w:val="en-GB"/>
        </w:rPr>
        <w:t xml:space="preserve"> is saying that </w:t>
      </w:r>
      <w:r w:rsidRPr="007C5AF0">
        <w:rPr>
          <w:bCs/>
          <w:iCs/>
          <w:szCs w:val="22"/>
          <w:lang w:val="en-GB"/>
        </w:rPr>
        <w:t>rather than taking the words of ‘the dominical oracles’ and seeing them as portraying Christ—as the prophets preached, the Lord himself taught, and the apostles handed down—</w:t>
      </w:r>
      <w:r>
        <w:rPr>
          <w:bCs/>
          <w:iCs/>
          <w:szCs w:val="22"/>
          <w:lang w:val="en-GB"/>
        </w:rPr>
        <w:t xml:space="preserve">his opponents have instead adapted the words of Scripture </w:t>
      </w:r>
      <w:r w:rsidRPr="007C5AF0">
        <w:rPr>
          <w:bCs/>
          <w:iCs/>
          <w:szCs w:val="22"/>
          <w:lang w:val="en-GB"/>
        </w:rPr>
        <w:t xml:space="preserve">to another hypothesis, that of events within the </w:t>
      </w:r>
      <w:r w:rsidR="00072EE1">
        <w:rPr>
          <w:bCs/>
          <w:iCs/>
          <w:szCs w:val="22"/>
          <w:lang w:val="en-GB"/>
        </w:rPr>
        <w:t>heavenly realm as imagined by the Gnostics</w:t>
      </w:r>
      <w:r w:rsidRPr="007C5AF0">
        <w:rPr>
          <w:bCs/>
          <w:iCs/>
          <w:szCs w:val="22"/>
          <w:lang w:val="en-GB"/>
        </w:rPr>
        <w:t xml:space="preserve">, fleshing out, as it were, their own hypothesis with scriptural words and so constructing </w:t>
      </w:r>
      <w:r w:rsidRPr="007C5AF0">
        <w:rPr>
          <w:szCs w:val="22"/>
          <w:lang w:val="en-GB"/>
        </w:rPr>
        <w:t>their own fabrication.</w:t>
      </w:r>
      <w:r w:rsidRPr="007C5AF0">
        <w:rPr>
          <w:bCs/>
          <w:iCs/>
          <w:szCs w:val="22"/>
          <w:lang w:val="en-GB"/>
        </w:rPr>
        <w:t xml:space="preserve"> They </w:t>
      </w:r>
      <w:r w:rsidRPr="007C5AF0">
        <w:rPr>
          <w:szCs w:val="22"/>
          <w:lang w:val="en-GB"/>
        </w:rPr>
        <w:t>have disregarded ‘the order and the connection of the Scriptures’, so distorting the picture and creating another. They have not accepted the coherence of the Scriptures, as speaking about Christ, but have preferred their own fabrication, created by adapting passages from Scripture to a different hypothesis, attempting to endow it with persuasive plausibility.</w:t>
      </w:r>
    </w:p>
    <w:p w14:paraId="1C95D731" w14:textId="77777777" w:rsidR="00A3788A" w:rsidRPr="007C5AF0" w:rsidRDefault="00A3788A" w:rsidP="00CA580B">
      <w:pPr>
        <w:rPr>
          <w:bCs/>
          <w:iCs/>
          <w:szCs w:val="22"/>
          <w:lang w:val="en-GB"/>
        </w:rPr>
      </w:pPr>
    </w:p>
    <w:p w14:paraId="57D80CFC" w14:textId="39D61B29" w:rsidR="00A3788A" w:rsidRPr="007C5AF0" w:rsidRDefault="00A3788A" w:rsidP="00072EE1">
      <w:pPr>
        <w:tabs>
          <w:tab w:val="left" w:pos="-720"/>
        </w:tabs>
        <w:suppressAutoHyphens/>
        <w:rPr>
          <w:szCs w:val="22"/>
          <w:lang w:val="en-GB"/>
        </w:rPr>
      </w:pPr>
      <w:r w:rsidRPr="007C5AF0">
        <w:rPr>
          <w:szCs w:val="22"/>
          <w:lang w:val="en-GB"/>
        </w:rPr>
        <w:t xml:space="preserve">In the other arts or area of knowledge, it is similarly the hypothesis, as that which is posited, which facilitates both action and inquiry, and ultimately knowledge itself. In the fifth book of his </w:t>
      </w:r>
      <w:r w:rsidRPr="007C5AF0">
        <w:rPr>
          <w:i/>
          <w:iCs/>
          <w:szCs w:val="22"/>
          <w:lang w:val="en-GB"/>
        </w:rPr>
        <w:t>Metaphysics</w:t>
      </w:r>
      <w:r w:rsidRPr="007C5AF0">
        <w:rPr>
          <w:szCs w:val="22"/>
          <w:lang w:val="en-GB"/>
        </w:rPr>
        <w:t>, Aristotle examines the various meanings of the word</w:t>
      </w:r>
      <w:r w:rsidR="00DF156E">
        <w:rPr>
          <w:szCs w:val="22"/>
          <w:lang w:val="en-GB"/>
        </w:rPr>
        <w:t xml:space="preserve"> </w:t>
      </w:r>
      <w:proofErr w:type="spellStart"/>
      <w:r w:rsidR="00DF156E">
        <w:rPr>
          <w:i/>
          <w:iCs/>
          <w:szCs w:val="22"/>
          <w:lang w:val="en-GB"/>
        </w:rPr>
        <w:t>archē</w:t>
      </w:r>
      <w:proofErr w:type="spellEnd"/>
      <w:r w:rsidR="00DF156E">
        <w:rPr>
          <w:i/>
          <w:iCs/>
          <w:szCs w:val="22"/>
          <w:lang w:val="en-GB"/>
        </w:rPr>
        <w:t xml:space="preserve"> </w:t>
      </w:r>
      <w:r w:rsidR="00DF156E">
        <w:rPr>
          <w:szCs w:val="22"/>
          <w:lang w:val="en-GB"/>
        </w:rPr>
        <w:t>(often translated ‘beginning’).</w:t>
      </w:r>
      <w:r w:rsidR="00DF156E">
        <w:rPr>
          <w:szCs w:val="22"/>
        </w:rPr>
        <w:t xml:space="preserve"> </w:t>
      </w:r>
      <w:r w:rsidRPr="007C5AF0">
        <w:rPr>
          <w:szCs w:val="22"/>
          <w:lang w:val="en-GB"/>
        </w:rPr>
        <w:t xml:space="preserve">One of the </w:t>
      </w:r>
      <w:r w:rsidR="00072EE1">
        <w:rPr>
          <w:szCs w:val="22"/>
          <w:lang w:val="en-GB"/>
        </w:rPr>
        <w:t>meaning</w:t>
      </w:r>
      <w:r w:rsidRPr="007C5AF0">
        <w:rPr>
          <w:szCs w:val="22"/>
          <w:lang w:val="en-GB"/>
        </w:rPr>
        <w:t>s he gives is this</w:t>
      </w:r>
      <w:r w:rsidR="00CA580B">
        <w:rPr>
          <w:szCs w:val="22"/>
          <w:lang w:val="en-GB"/>
        </w:rPr>
        <w:t>: ‘</w:t>
      </w:r>
      <w:r w:rsidRPr="007C5AF0">
        <w:rPr>
          <w:szCs w:val="22"/>
          <w:lang w:val="en-GB"/>
        </w:rPr>
        <w:t xml:space="preserve">Again, </w:t>
      </w:r>
      <w:r w:rsidR="00CA580B">
        <w:rPr>
          <w:szCs w:val="22"/>
          <w:lang w:val="en-GB"/>
        </w:rPr>
        <w:t>“</w:t>
      </w:r>
      <w:r w:rsidRPr="007C5AF0">
        <w:rPr>
          <w:szCs w:val="22"/>
          <w:lang w:val="en-GB"/>
        </w:rPr>
        <w:t>beginning</w:t>
      </w:r>
      <w:r w:rsidR="00CA580B">
        <w:rPr>
          <w:szCs w:val="22"/>
          <w:lang w:val="en-GB"/>
        </w:rPr>
        <w:t>”</w:t>
      </w:r>
      <w:r w:rsidRPr="007C5AF0">
        <w:rPr>
          <w:szCs w:val="22"/>
          <w:lang w:val="en-GB"/>
        </w:rPr>
        <w:t xml:space="preserve"> means the point from which a thing is first comprehensible, this too is called the ‘beginning’ of a thing, for instance, the hypotheses of demonstrations</w:t>
      </w:r>
      <w:r w:rsidR="00CA580B">
        <w:rPr>
          <w:szCs w:val="22"/>
          <w:lang w:val="en-GB"/>
        </w:rPr>
        <w:t>’</w:t>
      </w:r>
      <w:r w:rsidR="000859F6">
        <w:rPr>
          <w:szCs w:val="22"/>
        </w:rPr>
        <w:t>.</w:t>
      </w:r>
      <w:r w:rsidR="000859F6">
        <w:rPr>
          <w:rStyle w:val="FootnoteReference"/>
          <w:szCs w:val="22"/>
        </w:rPr>
        <w:footnoteReference w:id="8"/>
      </w:r>
      <w:r w:rsidR="00CA580B">
        <w:rPr>
          <w:szCs w:val="22"/>
          <w:lang w:val="en-GB"/>
        </w:rPr>
        <w:t xml:space="preserve"> </w:t>
      </w:r>
      <w:r>
        <w:rPr>
          <w:szCs w:val="22"/>
          <w:lang w:val="en-GB"/>
        </w:rPr>
        <w:t>S</w:t>
      </w:r>
      <w:r w:rsidRPr="007C5AF0">
        <w:rPr>
          <w:szCs w:val="22"/>
          <w:lang w:val="en-GB"/>
        </w:rPr>
        <w:t xml:space="preserve">tarting points/first principles/sources are </w:t>
      </w:r>
      <w:r w:rsidR="000859F6">
        <w:rPr>
          <w:szCs w:val="22"/>
          <w:lang w:val="en-GB"/>
        </w:rPr>
        <w:t xml:space="preserve">thus </w:t>
      </w:r>
      <w:r w:rsidRPr="007C5AF0">
        <w:rPr>
          <w:szCs w:val="22"/>
          <w:lang w:val="en-GB"/>
        </w:rPr>
        <w:t>the hypotheses of demonstrations</w:t>
      </w:r>
      <w:r w:rsidR="00072EE1">
        <w:rPr>
          <w:szCs w:val="22"/>
          <w:lang w:val="en-GB"/>
        </w:rPr>
        <w:t>. So, t</w:t>
      </w:r>
      <w:r w:rsidRPr="007C5AF0">
        <w:rPr>
          <w:szCs w:val="22"/>
          <w:lang w:val="en-GB"/>
        </w:rPr>
        <w:t xml:space="preserve">he goal of health is the hypothesis for a doctor, who then deliberates on how it is to be attained, just as mathematicians hypothesise certain axioms and then proceed with their demonstrations. </w:t>
      </w:r>
      <w:r w:rsidR="00072EE1">
        <w:rPr>
          <w:szCs w:val="22"/>
          <w:lang w:val="en-GB"/>
        </w:rPr>
        <w:t>As Aristotle puts it:</w:t>
      </w:r>
    </w:p>
    <w:p w14:paraId="005F5D92" w14:textId="16B2B10E" w:rsidR="00DF156E" w:rsidRPr="00CA580B" w:rsidRDefault="00A3788A" w:rsidP="000859F6">
      <w:pPr>
        <w:ind w:left="720"/>
        <w:rPr>
          <w:color w:val="000000"/>
          <w:szCs w:val="22"/>
          <w:lang w:val="en-GB"/>
        </w:rPr>
      </w:pPr>
      <w:r w:rsidRPr="007C5AF0">
        <w:rPr>
          <w:color w:val="000000"/>
          <w:szCs w:val="22"/>
          <w:lang w:val="en-GB"/>
        </w:rPr>
        <w:t>Does goodness decide the aim</w:t>
      </w:r>
      <w:r w:rsidRPr="007C5AF0">
        <w:rPr>
          <w:szCs w:val="22"/>
          <w:lang w:val="en-GB"/>
        </w:rPr>
        <w:t xml:space="preserve"> </w:t>
      </w:r>
      <w:r w:rsidRPr="007C5AF0">
        <w:rPr>
          <w:color w:val="000000"/>
          <w:szCs w:val="22"/>
          <w:lang w:val="en-GB"/>
        </w:rPr>
        <w:t xml:space="preserve">or the means to it? Well, our position is that it decides the aim, because this is not a matter of logical inference or rational principle, but in fact this must be assumed as a </w:t>
      </w:r>
      <w:proofErr w:type="gramStart"/>
      <w:r w:rsidRPr="007C5AF0">
        <w:rPr>
          <w:color w:val="000000"/>
          <w:szCs w:val="22"/>
          <w:lang w:val="en-GB"/>
        </w:rPr>
        <w:t>starting-point</w:t>
      </w:r>
      <w:proofErr w:type="gramEnd"/>
      <w:r w:rsidRPr="007C5AF0">
        <w:rPr>
          <w:color w:val="000000"/>
          <w:szCs w:val="22"/>
          <w:lang w:val="en-GB"/>
        </w:rPr>
        <w:t>. For a doctor does not consider whether his patient ought to be healthy or not, but whether he ought to take walking exercise or not, and the gymnastic trainer does not consider whether his pupil ought to be in good condition or not, but whether he ought to go in for wrestling or not; and similarly no other science either deliberates about its end. For as in the theoretic sciences the hypotheses are first principles, so in the productive sciences the end is a starting-point and hypothesis: since it is required that so-and-so is to be in good health, if that is to be secured it is necessary for such-and-such a thing to be provided—just as in mathematics, if the angles of a triangle are together equal to two right angles, such and such a consequence necessarily follows. Therefore, the end is the starting-</w:t>
      </w:r>
      <w:r w:rsidRPr="007C5AF0">
        <w:rPr>
          <w:color w:val="000000"/>
          <w:szCs w:val="22"/>
          <w:lang w:val="en-GB"/>
        </w:rPr>
        <w:lastRenderedPageBreak/>
        <w:t>point of the process of thought, but the conclusion of the process of thought is the starting-point of action.</w:t>
      </w:r>
      <w:r w:rsidR="000859F6">
        <w:rPr>
          <w:rStyle w:val="FootnoteReference"/>
          <w:color w:val="000000"/>
          <w:szCs w:val="22"/>
          <w:lang w:val="en-GB"/>
        </w:rPr>
        <w:footnoteReference w:id="9"/>
      </w:r>
    </w:p>
    <w:p w14:paraId="2B701E72" w14:textId="227BB9F5" w:rsidR="00A3788A" w:rsidRPr="007C5AF0" w:rsidRDefault="00A3788A" w:rsidP="00CA580B">
      <w:pPr>
        <w:tabs>
          <w:tab w:val="left" w:pos="-720"/>
        </w:tabs>
        <w:suppressAutoHyphens/>
        <w:rPr>
          <w:szCs w:val="22"/>
          <w:lang w:val="en-GB"/>
        </w:rPr>
      </w:pPr>
      <w:r>
        <w:rPr>
          <w:szCs w:val="22"/>
          <w:lang w:val="en-GB"/>
        </w:rPr>
        <w:t>Importantly</w:t>
      </w:r>
      <w:r w:rsidR="00072EE1">
        <w:rPr>
          <w:szCs w:val="22"/>
          <w:lang w:val="en-GB"/>
        </w:rPr>
        <w:t>,</w:t>
      </w:r>
      <w:r>
        <w:rPr>
          <w:szCs w:val="22"/>
          <w:lang w:val="en-GB"/>
        </w:rPr>
        <w:t xml:space="preserve"> s</w:t>
      </w:r>
      <w:r w:rsidRPr="007C5AF0">
        <w:rPr>
          <w:szCs w:val="22"/>
          <w:lang w:val="en-GB"/>
        </w:rPr>
        <w:t xml:space="preserve">uch hypotheses are tentative; if the goal proves to be unattainable or if the conclusions derived from the supposition turn out to be manifestly false, then the hypothesis in question must be rejected. </w:t>
      </w:r>
      <w:r w:rsidR="00CA580B">
        <w:rPr>
          <w:szCs w:val="22"/>
          <w:lang w:val="en-GB"/>
        </w:rPr>
        <w:t xml:space="preserve"> </w:t>
      </w:r>
      <w:r>
        <w:rPr>
          <w:szCs w:val="22"/>
          <w:lang w:val="en-GB"/>
        </w:rPr>
        <w:t xml:space="preserve">However, at least since Plato philosophers have tried to </w:t>
      </w:r>
      <w:r w:rsidRPr="007C5AF0">
        <w:rPr>
          <w:szCs w:val="22"/>
          <w:lang w:val="en-GB"/>
        </w:rPr>
        <w:t>discover the ultimate, non-hypothetical first principles. But, as Aristotle points out</w:t>
      </w:r>
      <w:r>
        <w:rPr>
          <w:szCs w:val="22"/>
          <w:lang w:val="en-GB"/>
        </w:rPr>
        <w:t xml:space="preserve"> it</w:t>
      </w:r>
      <w:r w:rsidRPr="007C5AF0">
        <w:rPr>
          <w:szCs w:val="22"/>
          <w:lang w:val="en-GB"/>
        </w:rPr>
        <w:t xml:space="preserve"> is impossible to demand demonstrations of the first principles themselves; the first principles cannot themselves be proved, otherwise they would be dependent upon something prior to them, and so the inquirer would be led into an infinite regress</w:t>
      </w:r>
      <w:r w:rsidR="00CA580B">
        <w:rPr>
          <w:szCs w:val="22"/>
          <w:lang w:val="en-GB"/>
        </w:rPr>
        <w:t>:</w:t>
      </w:r>
      <w:r w:rsidRPr="007C5AF0">
        <w:rPr>
          <w:szCs w:val="22"/>
          <w:lang w:val="en-GB"/>
        </w:rPr>
        <w:t xml:space="preserve"> </w:t>
      </w:r>
    </w:p>
    <w:p w14:paraId="14C5790E" w14:textId="2C490839" w:rsidR="00DF156E" w:rsidRPr="007C5AF0" w:rsidRDefault="00A3788A" w:rsidP="00CA580B">
      <w:pPr>
        <w:tabs>
          <w:tab w:val="left" w:pos="-720"/>
        </w:tabs>
        <w:suppressAutoHyphens/>
        <w:ind w:left="720"/>
        <w:rPr>
          <w:szCs w:val="22"/>
          <w:lang w:val="en-GB"/>
        </w:rPr>
      </w:pPr>
      <w:r w:rsidRPr="007C5AF0">
        <w:rPr>
          <w:szCs w:val="22"/>
          <w:lang w:val="en-GB"/>
        </w:rPr>
        <w:t>Yet some people expect even this to be demonstrated, but on account of lack of education, for it is a lack of education not to know of what one ought to seek a demonstration and of what one ought not. For it is impossible that there be a demonstration of absolutely everything, since one would go on to infinity, so that not even so would there be a demonstration</w:t>
      </w:r>
      <w:r w:rsidR="00CA580B">
        <w:rPr>
          <w:szCs w:val="22"/>
          <w:lang w:val="en-GB"/>
        </w:rPr>
        <w:t xml:space="preserve">. </w:t>
      </w:r>
      <w:r w:rsidR="00DF156E" w:rsidRPr="00CA580B">
        <w:rPr>
          <w:szCs w:val="22"/>
          <w:lang w:val="en-GB"/>
        </w:rPr>
        <w:t>(</w:t>
      </w:r>
      <w:r w:rsidR="00DF156E" w:rsidRPr="00CA580B">
        <w:rPr>
          <w:i/>
          <w:szCs w:val="22"/>
        </w:rPr>
        <w:t>Metaphysics</w:t>
      </w:r>
      <w:r w:rsidR="00DF156E" w:rsidRPr="00CA580B">
        <w:rPr>
          <w:szCs w:val="22"/>
        </w:rPr>
        <w:t xml:space="preserve">, </w:t>
      </w:r>
      <w:r w:rsidR="00DF156E" w:rsidRPr="007C5AF0">
        <w:rPr>
          <w:szCs w:val="22"/>
        </w:rPr>
        <w:t>4.4.2 (1006a6-12)</w:t>
      </w:r>
    </w:p>
    <w:p w14:paraId="1B8E61AB" w14:textId="5089C592" w:rsidR="00A3788A" w:rsidRPr="007C5AF0" w:rsidRDefault="00CA580B" w:rsidP="00CA580B">
      <w:pPr>
        <w:tabs>
          <w:tab w:val="left" w:pos="-720"/>
        </w:tabs>
        <w:suppressAutoHyphens/>
        <w:rPr>
          <w:szCs w:val="22"/>
          <w:lang w:val="en-GB"/>
        </w:rPr>
      </w:pPr>
      <w:r>
        <w:rPr>
          <w:szCs w:val="22"/>
          <w:lang w:val="en-GB"/>
        </w:rPr>
        <w:t>And t</w:t>
      </w:r>
      <w:r w:rsidR="00A3788A" w:rsidRPr="007C5AF0">
        <w:rPr>
          <w:szCs w:val="22"/>
          <w:lang w:val="en-GB"/>
        </w:rPr>
        <w:t>his means, as Clement of Alexandria points out, that the search for the first principles of demonstration ends up with indemonstrable faith</w:t>
      </w:r>
      <w:r>
        <w:rPr>
          <w:szCs w:val="22"/>
          <w:lang w:val="en-GB"/>
        </w:rPr>
        <w:t xml:space="preserve">: </w:t>
      </w:r>
    </w:p>
    <w:p w14:paraId="4758F44C" w14:textId="2FD4BADC" w:rsidR="00A3788A" w:rsidRPr="007C5AF0" w:rsidRDefault="00A3788A" w:rsidP="00CA580B">
      <w:pPr>
        <w:tabs>
          <w:tab w:val="left" w:pos="-720"/>
        </w:tabs>
        <w:suppressAutoHyphens/>
        <w:ind w:left="720"/>
        <w:rPr>
          <w:szCs w:val="22"/>
          <w:lang w:val="en-GB"/>
        </w:rPr>
      </w:pPr>
      <w:proofErr w:type="gramStart"/>
      <w:r w:rsidRPr="007C5AF0">
        <w:rPr>
          <w:szCs w:val="22"/>
        </w:rPr>
        <w:t>In point of fact</w:t>
      </w:r>
      <w:proofErr w:type="gramEnd"/>
      <w:r w:rsidRPr="007C5AF0">
        <w:rPr>
          <w:szCs w:val="22"/>
        </w:rPr>
        <w:t xml:space="preserve">, the philosophers admit that the first principles of all things are indemonstrable. So that if there is a demonstration at all, there is an absolute necessity that there </w:t>
      </w:r>
      <w:proofErr w:type="gramStart"/>
      <w:r w:rsidRPr="007C5AF0">
        <w:rPr>
          <w:szCs w:val="22"/>
        </w:rPr>
        <w:t>be something that is</w:t>
      </w:r>
      <w:proofErr w:type="gramEnd"/>
      <w:r w:rsidRPr="007C5AF0">
        <w:rPr>
          <w:szCs w:val="22"/>
        </w:rPr>
        <w:t xml:space="preserve"> self-evident, which is called primary and indemonstrable. Consequently, all demonstration is traced up to indemonstrable faith.</w:t>
      </w:r>
      <w:r w:rsidR="000859F6">
        <w:rPr>
          <w:rStyle w:val="FootnoteReference"/>
          <w:szCs w:val="22"/>
        </w:rPr>
        <w:footnoteReference w:id="10"/>
      </w:r>
    </w:p>
    <w:p w14:paraId="3AA0E844" w14:textId="77777777" w:rsidR="00A3788A" w:rsidRDefault="00A3788A" w:rsidP="00CA580B">
      <w:pPr>
        <w:tabs>
          <w:tab w:val="left" w:pos="-720"/>
        </w:tabs>
        <w:suppressAutoHyphens/>
        <w:rPr>
          <w:szCs w:val="22"/>
          <w:lang w:val="en-GB"/>
        </w:rPr>
      </w:pPr>
      <w:r w:rsidRPr="007C5AF0">
        <w:rPr>
          <w:szCs w:val="22"/>
          <w:lang w:val="en-GB"/>
        </w:rPr>
        <w:t>While not themselves being demonstrable, the first principles, grasped by faith, are the basis for subsequent demonstrations, and are also used to evaluate other claims to truth, and in this way act as a ‘canon’.</w:t>
      </w:r>
    </w:p>
    <w:p w14:paraId="49FB5EAE" w14:textId="77777777" w:rsidR="00A3788A" w:rsidRDefault="00A3788A" w:rsidP="00CA580B">
      <w:pPr>
        <w:tabs>
          <w:tab w:val="left" w:pos="-720"/>
        </w:tabs>
        <w:suppressAutoHyphens/>
        <w:rPr>
          <w:szCs w:val="22"/>
          <w:lang w:val="en-GB"/>
        </w:rPr>
      </w:pPr>
    </w:p>
    <w:p w14:paraId="7560E8F4" w14:textId="022FED87" w:rsidR="00A3788A" w:rsidRPr="007C5AF0" w:rsidRDefault="00A3788A" w:rsidP="00CA580B">
      <w:pPr>
        <w:tabs>
          <w:tab w:val="left" w:pos="-720"/>
        </w:tabs>
        <w:suppressAutoHyphens/>
        <w:rPr>
          <w:szCs w:val="22"/>
          <w:lang w:val="en-GB"/>
        </w:rPr>
      </w:pPr>
      <w:r w:rsidRPr="007C5AF0">
        <w:rPr>
          <w:szCs w:val="22"/>
          <w:lang w:val="en-GB"/>
        </w:rPr>
        <w:t xml:space="preserve">Irenaeus continues his treatment of his opponents teaching by subjecting their exegesis of the prologue of John to critical examination, showing, on literary grounds, that it cannot be what John taught, and then continues </w:t>
      </w:r>
      <w:r w:rsidRPr="007C5AF0">
        <w:rPr>
          <w:color w:val="000000"/>
          <w:szCs w:val="22"/>
          <w:lang w:val="en-GB"/>
        </w:rPr>
        <w:t xml:space="preserve">by using a further literary example, that of </w:t>
      </w:r>
      <w:r w:rsidRPr="007C5AF0">
        <w:rPr>
          <w:szCs w:val="22"/>
          <w:lang w:val="en-GB"/>
        </w:rPr>
        <w:t xml:space="preserve">how some people take diverse lines from the work of Homer and then rearrange them to produce </w:t>
      </w:r>
      <w:r w:rsidR="00CA580B">
        <w:rPr>
          <w:szCs w:val="22"/>
          <w:lang w:val="en-GB"/>
        </w:rPr>
        <w:t>H</w:t>
      </w:r>
      <w:r w:rsidRPr="007C5AF0">
        <w:rPr>
          <w:szCs w:val="22"/>
          <w:lang w:val="en-GB"/>
        </w:rPr>
        <w:t>omeric-sounding verses which tell a tale not to be found in Homer (</w:t>
      </w:r>
      <w:r w:rsidR="00DF156E">
        <w:rPr>
          <w:i/>
          <w:szCs w:val="22"/>
          <w:lang w:val="en-GB"/>
        </w:rPr>
        <w:t>H</w:t>
      </w:r>
      <w:r w:rsidRPr="007C5AF0">
        <w:rPr>
          <w:i/>
          <w:szCs w:val="22"/>
          <w:lang w:val="en-GB"/>
        </w:rPr>
        <w:t xml:space="preserve">aer. </w:t>
      </w:r>
      <w:r w:rsidRPr="007C5AF0">
        <w:rPr>
          <w:szCs w:val="22"/>
          <w:lang w:val="en-GB"/>
        </w:rPr>
        <w:t>1.9.4). While these fabrications, called centos, can mislead those who have only a passing knowledge of Homer, they will not deceive those who are well versed in his poetry, for they will be able to identify the lines and restore them to their proper context.</w:t>
      </w:r>
      <w:r w:rsidR="00CA580B">
        <w:rPr>
          <w:szCs w:val="22"/>
          <w:lang w:val="en-GB"/>
        </w:rPr>
        <w:t xml:space="preserve"> </w:t>
      </w:r>
      <w:r w:rsidRPr="007C5AF0">
        <w:rPr>
          <w:szCs w:val="22"/>
          <w:lang w:val="en-GB"/>
        </w:rPr>
        <w:t xml:space="preserve">Then he says: </w:t>
      </w:r>
    </w:p>
    <w:p w14:paraId="21C7A0D8" w14:textId="03B812D6" w:rsidR="00A3788A" w:rsidRPr="007C5AF0" w:rsidRDefault="00A3788A" w:rsidP="00CA580B">
      <w:pPr>
        <w:tabs>
          <w:tab w:val="left" w:pos="-720"/>
          <w:tab w:val="left" w:pos="0"/>
        </w:tabs>
        <w:suppressAutoHyphens/>
        <w:ind w:left="720"/>
        <w:rPr>
          <w:szCs w:val="22"/>
          <w:lang w:val="en-GB"/>
        </w:rPr>
      </w:pPr>
      <w:r w:rsidRPr="007C5AF0">
        <w:rPr>
          <w:szCs w:val="22"/>
          <w:lang w:val="en-GB"/>
        </w:rPr>
        <w:t xml:space="preserve">… anyone who keeps unswervingly in himself the canon of </w:t>
      </w:r>
      <w:proofErr w:type="gramStart"/>
      <w:r w:rsidRPr="007C5AF0">
        <w:rPr>
          <w:szCs w:val="22"/>
          <w:lang w:val="en-GB"/>
        </w:rPr>
        <w:t>truth  received</w:t>
      </w:r>
      <w:proofErr w:type="gramEnd"/>
      <w:r w:rsidRPr="007C5AF0">
        <w:rPr>
          <w:szCs w:val="22"/>
          <w:lang w:val="en-GB"/>
        </w:rPr>
        <w:t xml:space="preserve"> through baptism will recognise the names and sayings and parables from the Scriptures, but this blasphemous hypothesis of theirs he will not recognise. For if he recognises the jewels, he will not accept the fox for the image of the king.  He will restore each one of the passages to its proper order and, having fit it into the body of the truth, he will lay bare their fabrication and show that it is without support.</w:t>
      </w:r>
      <w:r w:rsidR="00DF156E">
        <w:rPr>
          <w:szCs w:val="22"/>
          <w:lang w:val="en-GB"/>
        </w:rPr>
        <w:t xml:space="preserve"> (</w:t>
      </w:r>
      <w:r w:rsidR="00DF156E">
        <w:rPr>
          <w:i/>
          <w:iCs/>
          <w:szCs w:val="22"/>
          <w:lang w:val="en-GB"/>
        </w:rPr>
        <w:t>Haer.</w:t>
      </w:r>
      <w:r w:rsidR="00DF156E">
        <w:rPr>
          <w:szCs w:val="22"/>
          <w:lang w:val="en-GB"/>
        </w:rPr>
        <w:t xml:space="preserve"> 1.9.4)</w:t>
      </w:r>
    </w:p>
    <w:p w14:paraId="74DB6116" w14:textId="54E604BC" w:rsidR="00A3788A" w:rsidRDefault="00A3788A" w:rsidP="00CA580B">
      <w:pPr>
        <w:tabs>
          <w:tab w:val="left" w:pos="-720"/>
        </w:tabs>
        <w:suppressAutoHyphens/>
        <w:rPr>
          <w:szCs w:val="22"/>
          <w:lang w:val="en-GB"/>
        </w:rPr>
      </w:pPr>
      <w:r w:rsidRPr="007C5AF0">
        <w:rPr>
          <w:szCs w:val="22"/>
          <w:lang w:val="en-GB"/>
        </w:rPr>
        <w:t>Originally th</w:t>
      </w:r>
      <w:r>
        <w:rPr>
          <w:szCs w:val="22"/>
          <w:lang w:val="en-GB"/>
        </w:rPr>
        <w:t>e</w:t>
      </w:r>
      <w:r w:rsidRPr="007C5AF0">
        <w:rPr>
          <w:szCs w:val="22"/>
          <w:lang w:val="en-GB"/>
        </w:rPr>
        <w:t xml:space="preserve"> term </w:t>
      </w:r>
      <w:r>
        <w:rPr>
          <w:szCs w:val="22"/>
          <w:lang w:val="en-GB"/>
        </w:rPr>
        <w:t xml:space="preserve">‘canon’ </w:t>
      </w:r>
      <w:r w:rsidRPr="007C5AF0">
        <w:rPr>
          <w:szCs w:val="22"/>
          <w:lang w:val="en-GB"/>
        </w:rPr>
        <w:t>simply meant a straight line, a rule by which other lines could be judged. As Aristotle points out</w:t>
      </w:r>
      <w:r w:rsidR="00DF156E">
        <w:rPr>
          <w:szCs w:val="22"/>
          <w:lang w:val="en-GB"/>
        </w:rPr>
        <w:t>:</w:t>
      </w:r>
      <w:r w:rsidRPr="007C5AF0">
        <w:rPr>
          <w:szCs w:val="22"/>
          <w:lang w:val="en-GB"/>
        </w:rPr>
        <w:t xml:space="preserve"> </w:t>
      </w:r>
    </w:p>
    <w:p w14:paraId="1F288F91" w14:textId="65668DA9" w:rsidR="00A3788A" w:rsidRDefault="00D07B87" w:rsidP="00CA580B">
      <w:pPr>
        <w:tabs>
          <w:tab w:val="left" w:pos="-720"/>
        </w:tabs>
        <w:suppressAutoHyphens/>
        <w:ind w:left="720"/>
        <w:rPr>
          <w:szCs w:val="22"/>
          <w:lang w:val="en-GB"/>
        </w:rPr>
      </w:pPr>
      <w:r w:rsidRPr="007C5AF0">
        <w:rPr>
          <w:szCs w:val="22"/>
          <w:lang w:val="en-GB"/>
        </w:rPr>
        <w:t xml:space="preserve">we discern both the straight and the crooked </w:t>
      </w:r>
      <w:r w:rsidR="00A3788A" w:rsidRPr="007C5AF0">
        <w:rPr>
          <w:szCs w:val="22"/>
          <w:lang w:val="en-GB"/>
        </w:rPr>
        <w:t>by that which is straight; the carpenter’s rule</w:t>
      </w:r>
      <w:r w:rsidR="00CA580B">
        <w:rPr>
          <w:szCs w:val="22"/>
          <w:lang w:val="en-GB"/>
        </w:rPr>
        <w:t xml:space="preserve"> [</w:t>
      </w:r>
      <w:r w:rsidR="00CA580B">
        <w:rPr>
          <w:i/>
          <w:iCs/>
          <w:szCs w:val="22"/>
          <w:lang w:val="en-GB"/>
        </w:rPr>
        <w:t>canon</w:t>
      </w:r>
      <w:r w:rsidR="00CA580B">
        <w:rPr>
          <w:szCs w:val="22"/>
          <w:lang w:val="en-GB"/>
        </w:rPr>
        <w:t>]</w:t>
      </w:r>
      <w:r w:rsidR="00A3788A" w:rsidRPr="007C5AF0">
        <w:rPr>
          <w:szCs w:val="22"/>
          <w:lang w:val="en-GB"/>
        </w:rPr>
        <w:t xml:space="preserve"> is the test of both, but the crooked tests neither itself nor the straight</w:t>
      </w:r>
      <w:r>
        <w:rPr>
          <w:szCs w:val="22"/>
          <w:lang w:val="en-GB"/>
        </w:rPr>
        <w:t>.</w:t>
      </w:r>
      <w:r w:rsidR="000859F6">
        <w:rPr>
          <w:rStyle w:val="FootnoteReference"/>
          <w:szCs w:val="22"/>
          <w:lang w:val="en-GB"/>
        </w:rPr>
        <w:footnoteReference w:id="11"/>
      </w:r>
    </w:p>
    <w:p w14:paraId="3110F044" w14:textId="0AC9DF93" w:rsidR="00A3788A" w:rsidRPr="007C5AF0" w:rsidRDefault="00A3788A" w:rsidP="00CA580B">
      <w:pPr>
        <w:tabs>
          <w:tab w:val="left" w:pos="-720"/>
        </w:tabs>
        <w:suppressAutoHyphens/>
        <w:rPr>
          <w:szCs w:val="22"/>
          <w:lang w:val="en-GB"/>
        </w:rPr>
      </w:pPr>
      <w:r w:rsidRPr="007C5AF0">
        <w:rPr>
          <w:szCs w:val="22"/>
          <w:lang w:val="en-GB"/>
        </w:rPr>
        <w:t>Epicurus’ work entitle</w:t>
      </w:r>
      <w:r w:rsidR="000859F6">
        <w:rPr>
          <w:szCs w:val="22"/>
          <w:lang w:val="en-GB"/>
        </w:rPr>
        <w:t>d</w:t>
      </w:r>
      <w:r w:rsidRPr="007C5AF0">
        <w:rPr>
          <w:szCs w:val="22"/>
          <w:lang w:val="en-GB"/>
        </w:rPr>
        <w:t xml:space="preserve"> </w:t>
      </w:r>
      <w:r w:rsidRPr="007C5AF0">
        <w:rPr>
          <w:i/>
          <w:szCs w:val="22"/>
          <w:lang w:val="en-GB"/>
        </w:rPr>
        <w:t>The Canon</w:t>
      </w:r>
      <w:r w:rsidRPr="007C5AF0">
        <w:rPr>
          <w:szCs w:val="22"/>
          <w:lang w:val="en-GB"/>
        </w:rPr>
        <w:t xml:space="preserve"> seems to have been the first work devoted to the need to establish ‘the criteria of truth’, a need which, in the face of the Sceptical onslaught, made it almost obligatory in the Hellenistic period to begin any systematic presentation of philosophy with an account of ‘the criterion’.</w:t>
      </w:r>
      <w:r w:rsidRPr="007C5AF0">
        <w:rPr>
          <w:rStyle w:val="FootnoteReference"/>
          <w:szCs w:val="22"/>
          <w:lang w:val="en-GB"/>
        </w:rPr>
        <w:t xml:space="preserve"> </w:t>
      </w:r>
      <w:r w:rsidRPr="007C5AF0">
        <w:rPr>
          <w:szCs w:val="22"/>
          <w:lang w:val="en-GB"/>
        </w:rPr>
        <w:t xml:space="preserve">Without such a canon or criterion, it was recognized, it is simply not possible to gain any knowledge, for all inquiry would be drawn helplessly into an endless regression. </w:t>
      </w:r>
    </w:p>
    <w:p w14:paraId="71DE2D5A" w14:textId="77777777" w:rsidR="00A3788A" w:rsidRPr="007C5AF0" w:rsidRDefault="00A3788A" w:rsidP="00CA580B">
      <w:pPr>
        <w:rPr>
          <w:bCs/>
          <w:iCs/>
          <w:szCs w:val="22"/>
          <w:lang w:val="en-GB"/>
        </w:rPr>
      </w:pPr>
    </w:p>
    <w:p w14:paraId="3995D4B6" w14:textId="5B551B86" w:rsidR="00A3788A" w:rsidRDefault="00A3788A" w:rsidP="00CA580B">
      <w:pPr>
        <w:tabs>
          <w:tab w:val="left" w:pos="-720"/>
        </w:tabs>
        <w:suppressAutoHyphens/>
        <w:rPr>
          <w:szCs w:val="22"/>
          <w:lang w:val="en-GB"/>
        </w:rPr>
      </w:pPr>
      <w:r w:rsidRPr="007C5AF0">
        <w:rPr>
          <w:szCs w:val="22"/>
          <w:lang w:val="en-GB"/>
        </w:rPr>
        <w:lastRenderedPageBreak/>
        <w:t xml:space="preserve">What </w:t>
      </w:r>
      <w:r>
        <w:rPr>
          <w:szCs w:val="22"/>
          <w:lang w:val="en-GB"/>
        </w:rPr>
        <w:t>Irenaeus</w:t>
      </w:r>
      <w:r w:rsidRPr="007C5AF0">
        <w:rPr>
          <w:szCs w:val="22"/>
          <w:lang w:val="en-GB"/>
        </w:rPr>
        <w:t xml:space="preserve"> means by receiving the canon of truth through baptism is not clear.</w:t>
      </w:r>
      <w:r w:rsidR="00DF156E">
        <w:rPr>
          <w:szCs w:val="22"/>
          <w:lang w:val="en-GB"/>
        </w:rPr>
        <w:t xml:space="preserve"> </w:t>
      </w:r>
      <w:r w:rsidRPr="007C5AF0">
        <w:rPr>
          <w:szCs w:val="22"/>
          <w:lang w:val="en-GB"/>
        </w:rPr>
        <w:t>We don’t really know about the practices of catechesis at this time:</w:t>
      </w:r>
      <w:r w:rsidR="00DF156E">
        <w:rPr>
          <w:szCs w:val="22"/>
          <w:lang w:val="en-GB"/>
        </w:rPr>
        <w:t xml:space="preserve"> </w:t>
      </w:r>
      <w:proofErr w:type="gramStart"/>
      <w:r w:rsidRPr="007C5AF0">
        <w:rPr>
          <w:szCs w:val="22"/>
          <w:lang w:val="en-GB"/>
        </w:rPr>
        <w:t>later on</w:t>
      </w:r>
      <w:proofErr w:type="gramEnd"/>
      <w:r w:rsidRPr="007C5AF0">
        <w:rPr>
          <w:szCs w:val="22"/>
          <w:lang w:val="en-GB"/>
        </w:rPr>
        <w:t>, there developed the practice of instructing those about to be baptized with the creed,</w:t>
      </w:r>
      <w:r w:rsidR="00DF156E">
        <w:rPr>
          <w:szCs w:val="22"/>
          <w:lang w:val="en-GB"/>
        </w:rPr>
        <w:t xml:space="preserve"> </w:t>
      </w:r>
      <w:r w:rsidRPr="007C5AF0">
        <w:rPr>
          <w:szCs w:val="22"/>
          <w:lang w:val="en-GB"/>
        </w:rPr>
        <w:t>which they would memorize and then say for themselves when they were baptised.</w:t>
      </w:r>
      <w:r w:rsidR="00CA580B">
        <w:rPr>
          <w:szCs w:val="22"/>
          <w:lang w:val="en-GB"/>
        </w:rPr>
        <w:t xml:space="preserve"> </w:t>
      </w:r>
      <w:r w:rsidRPr="007C5AF0">
        <w:rPr>
          <w:szCs w:val="22"/>
          <w:lang w:val="en-GB"/>
        </w:rPr>
        <w:t>It could be that the canon of truth is structured on the same three central articles of belief</w:t>
      </w:r>
      <w:r>
        <w:rPr>
          <w:szCs w:val="22"/>
          <w:lang w:val="en-GB"/>
        </w:rPr>
        <w:t>—</w:t>
      </w:r>
      <w:r w:rsidRPr="007C5AF0">
        <w:rPr>
          <w:szCs w:val="22"/>
          <w:lang w:val="en-GB"/>
        </w:rPr>
        <w:t>Father, Son, and Spirit</w:t>
      </w:r>
      <w:r>
        <w:rPr>
          <w:szCs w:val="22"/>
          <w:lang w:val="en-GB"/>
        </w:rPr>
        <w:t xml:space="preserve">— </w:t>
      </w:r>
      <w:r w:rsidRPr="007C5AF0">
        <w:rPr>
          <w:szCs w:val="22"/>
          <w:lang w:val="en-GB"/>
        </w:rPr>
        <w:t>that are part of the baptismal rit</w:t>
      </w:r>
      <w:r w:rsidR="00CA580B">
        <w:rPr>
          <w:szCs w:val="22"/>
          <w:lang w:val="en-GB"/>
        </w:rPr>
        <w:t>e</w:t>
      </w:r>
      <w:r w:rsidRPr="007C5AF0">
        <w:rPr>
          <w:szCs w:val="22"/>
          <w:lang w:val="en-GB"/>
        </w:rPr>
        <w:t xml:space="preserve"> (the three questions that seem to go back to an early period</w:t>
      </w:r>
      <w:r>
        <w:rPr>
          <w:szCs w:val="22"/>
          <w:lang w:val="en-GB"/>
        </w:rPr>
        <w:t xml:space="preserve"> </w:t>
      </w:r>
      <w:r w:rsidRPr="007C5AF0">
        <w:rPr>
          <w:szCs w:val="22"/>
          <w:lang w:val="en-GB"/>
        </w:rPr>
        <w:t xml:space="preserve">do you believe in the Father? Do you believe in the </w:t>
      </w:r>
      <w:proofErr w:type="gramStart"/>
      <w:r w:rsidRPr="007C5AF0">
        <w:rPr>
          <w:szCs w:val="22"/>
          <w:lang w:val="en-GB"/>
        </w:rPr>
        <w:t>Son</w:t>
      </w:r>
      <w:proofErr w:type="gramEnd"/>
      <w:r w:rsidRPr="007C5AF0">
        <w:rPr>
          <w:szCs w:val="22"/>
          <w:lang w:val="en-GB"/>
        </w:rPr>
        <w:t>? Do you believe in the H</w:t>
      </w:r>
      <w:r>
        <w:rPr>
          <w:szCs w:val="22"/>
          <w:lang w:val="en-GB"/>
        </w:rPr>
        <w:t>S</w:t>
      </w:r>
      <w:r w:rsidRPr="007C5AF0">
        <w:rPr>
          <w:szCs w:val="22"/>
          <w:lang w:val="en-GB"/>
        </w:rPr>
        <w:t>?</w:t>
      </w:r>
      <w:r w:rsidR="00CA580B">
        <w:rPr>
          <w:szCs w:val="22"/>
          <w:lang w:val="en-GB"/>
        </w:rPr>
        <w:t xml:space="preserve">); </w:t>
      </w:r>
      <w:r w:rsidRPr="007C5AF0">
        <w:rPr>
          <w:szCs w:val="22"/>
          <w:lang w:val="en-GB"/>
        </w:rPr>
        <w:t>the same three articles that go back to the baptismal command of Christ himself (Mat</w:t>
      </w:r>
      <w:r w:rsidR="00072EE1">
        <w:rPr>
          <w:szCs w:val="22"/>
          <w:lang w:val="en-GB"/>
        </w:rPr>
        <w:t>t.</w:t>
      </w:r>
      <w:r w:rsidRPr="007C5AF0">
        <w:rPr>
          <w:szCs w:val="22"/>
          <w:lang w:val="en-GB"/>
        </w:rPr>
        <w:t xml:space="preserve"> 28:19)</w:t>
      </w:r>
      <w:r w:rsidR="00DF156E">
        <w:rPr>
          <w:szCs w:val="22"/>
          <w:lang w:val="en-GB"/>
        </w:rPr>
        <w:t xml:space="preserve"> </w:t>
      </w:r>
      <w:r w:rsidRPr="007C5AF0">
        <w:rPr>
          <w:szCs w:val="22"/>
          <w:lang w:val="en-GB"/>
        </w:rPr>
        <w:t>and that structure all later creeds.</w:t>
      </w:r>
    </w:p>
    <w:p w14:paraId="79167FD3" w14:textId="77777777" w:rsidR="00DF156E" w:rsidRPr="007C5AF0" w:rsidRDefault="00DF156E" w:rsidP="00CA580B">
      <w:pPr>
        <w:tabs>
          <w:tab w:val="left" w:pos="-720"/>
        </w:tabs>
        <w:suppressAutoHyphens/>
        <w:rPr>
          <w:szCs w:val="22"/>
          <w:lang w:val="en-GB"/>
        </w:rPr>
      </w:pPr>
    </w:p>
    <w:p w14:paraId="440E2468" w14:textId="77777777" w:rsidR="00A3788A" w:rsidRPr="007C5AF0" w:rsidRDefault="00A3788A" w:rsidP="00CA580B">
      <w:pPr>
        <w:tabs>
          <w:tab w:val="left" w:pos="-720"/>
        </w:tabs>
        <w:suppressAutoHyphens/>
        <w:rPr>
          <w:szCs w:val="22"/>
          <w:lang w:val="en-GB"/>
        </w:rPr>
      </w:pPr>
      <w:r w:rsidRPr="007C5AF0">
        <w:rPr>
          <w:szCs w:val="22"/>
          <w:lang w:val="en-GB"/>
        </w:rPr>
        <w:t xml:space="preserve">This is followed by the fullest description given by Irenaeus of the faith received by the apostles, </w:t>
      </w:r>
    </w:p>
    <w:p w14:paraId="67EC2494" w14:textId="77777777" w:rsidR="00A3788A" w:rsidRPr="007C5AF0" w:rsidRDefault="00A3788A" w:rsidP="00CA580B">
      <w:pPr>
        <w:tabs>
          <w:tab w:val="left" w:pos="-720"/>
        </w:tabs>
        <w:suppressAutoHyphens/>
        <w:ind w:left="720"/>
        <w:rPr>
          <w:color w:val="000000"/>
          <w:szCs w:val="22"/>
        </w:rPr>
      </w:pPr>
      <w:r w:rsidRPr="007C5AF0">
        <w:rPr>
          <w:color w:val="000000"/>
          <w:szCs w:val="22"/>
        </w:rPr>
        <w:t xml:space="preserve">The Church, though dispersed throughout the whole world, even to the ends of the earth, has received from the apostles and their disciples this faith: </w:t>
      </w:r>
    </w:p>
    <w:p w14:paraId="694438AD" w14:textId="77777777" w:rsidR="00A3788A" w:rsidRPr="007C5AF0" w:rsidRDefault="00A3788A" w:rsidP="00CA580B">
      <w:pPr>
        <w:tabs>
          <w:tab w:val="left" w:pos="-720"/>
        </w:tabs>
        <w:suppressAutoHyphens/>
        <w:ind w:left="720"/>
        <w:rPr>
          <w:color w:val="000000"/>
          <w:szCs w:val="22"/>
        </w:rPr>
      </w:pPr>
      <w:r w:rsidRPr="007C5AF0">
        <w:rPr>
          <w:color w:val="000000"/>
          <w:szCs w:val="22"/>
        </w:rPr>
        <w:t xml:space="preserve">in one God, the Father Almighty, Maker of heaven, and earth, and the sea, and all things that are in </w:t>
      </w:r>
      <w:proofErr w:type="gramStart"/>
      <w:r w:rsidRPr="007C5AF0">
        <w:rPr>
          <w:color w:val="000000"/>
          <w:szCs w:val="22"/>
        </w:rPr>
        <w:t>them;</w:t>
      </w:r>
      <w:proofErr w:type="gramEnd"/>
      <w:r w:rsidRPr="007C5AF0">
        <w:rPr>
          <w:color w:val="000000"/>
          <w:szCs w:val="22"/>
        </w:rPr>
        <w:t xml:space="preserve"> </w:t>
      </w:r>
    </w:p>
    <w:p w14:paraId="793F28CD" w14:textId="77777777" w:rsidR="00A3788A" w:rsidRPr="007C5AF0" w:rsidRDefault="00A3788A" w:rsidP="00CA580B">
      <w:pPr>
        <w:tabs>
          <w:tab w:val="left" w:pos="-720"/>
        </w:tabs>
        <w:suppressAutoHyphens/>
        <w:ind w:left="720"/>
        <w:rPr>
          <w:color w:val="000000"/>
          <w:szCs w:val="22"/>
        </w:rPr>
      </w:pPr>
      <w:r w:rsidRPr="007C5AF0">
        <w:rPr>
          <w:color w:val="000000"/>
          <w:szCs w:val="22"/>
        </w:rPr>
        <w:t xml:space="preserve">and in one Christ Jesus, the Son of God, who became incarnate for our </w:t>
      </w:r>
      <w:proofErr w:type="gramStart"/>
      <w:r w:rsidRPr="007C5AF0">
        <w:rPr>
          <w:color w:val="000000"/>
          <w:szCs w:val="22"/>
        </w:rPr>
        <w:t>salvation;</w:t>
      </w:r>
      <w:proofErr w:type="gramEnd"/>
      <w:r w:rsidRPr="007C5AF0">
        <w:rPr>
          <w:color w:val="000000"/>
          <w:szCs w:val="22"/>
        </w:rPr>
        <w:t xml:space="preserve"> </w:t>
      </w:r>
    </w:p>
    <w:p w14:paraId="070D2627" w14:textId="6DD65973" w:rsidR="00A3788A" w:rsidRPr="009A204A" w:rsidRDefault="00A3788A" w:rsidP="00CA580B">
      <w:pPr>
        <w:tabs>
          <w:tab w:val="left" w:pos="-720"/>
        </w:tabs>
        <w:suppressAutoHyphens/>
        <w:ind w:left="720"/>
        <w:rPr>
          <w:szCs w:val="22"/>
          <w:lang w:val="en-GB"/>
        </w:rPr>
      </w:pPr>
      <w:r w:rsidRPr="007C5AF0">
        <w:rPr>
          <w:color w:val="000000"/>
          <w:szCs w:val="22"/>
        </w:rPr>
        <w:t>and in the Holy Spirit, who proclaimed through the prophets the dispensations of God, and the advents, and the birth from a virgin, and the passion, and the resurrection from the dead, and the ascension into heaven in the flesh of the beloved Christ Jesus, our Lord, and his manifestation from heave</w:t>
      </w:r>
      <w:r w:rsidRPr="009A204A">
        <w:rPr>
          <w:color w:val="000000"/>
          <w:szCs w:val="22"/>
        </w:rPr>
        <w:t xml:space="preserve">n in the glory of the Father “to gather all things in one,” and to raise up anew all flesh of the whole human race, in order that to Christ Jesus, our Lord, and God, and Savior, and King, according to the will of the invisible Father, “every knee should bow, of things in heaven, and things in earth, and things under the earth, and that every tongue should confess” to him, and that he should execute just judgment towards all; that he may send “spiritual </w:t>
      </w:r>
      <w:proofErr w:type="spellStart"/>
      <w:r w:rsidRPr="009A204A">
        <w:rPr>
          <w:color w:val="000000"/>
          <w:szCs w:val="22"/>
        </w:rPr>
        <w:t>wickednesses</w:t>
      </w:r>
      <w:proofErr w:type="spellEnd"/>
      <w:r w:rsidRPr="009A204A">
        <w:rPr>
          <w:color w:val="000000"/>
          <w:szCs w:val="22"/>
        </w:rPr>
        <w:t xml:space="preserve">,” and the angels who transgressed and became apostates, together with the ungodly, and unrighteous, and wicked, and profane among men, into everlasting fire; but may, in the exercise of </w:t>
      </w:r>
      <w:r>
        <w:rPr>
          <w:color w:val="000000"/>
          <w:szCs w:val="22"/>
        </w:rPr>
        <w:t>h</w:t>
      </w:r>
      <w:r w:rsidRPr="009A204A">
        <w:rPr>
          <w:color w:val="000000"/>
          <w:szCs w:val="22"/>
        </w:rPr>
        <w:t xml:space="preserve">is grace, confer immortality on the righteous, and holy, and those who have kept </w:t>
      </w:r>
      <w:r>
        <w:rPr>
          <w:color w:val="000000"/>
          <w:szCs w:val="22"/>
        </w:rPr>
        <w:t>h</w:t>
      </w:r>
      <w:r w:rsidRPr="009A204A">
        <w:rPr>
          <w:color w:val="000000"/>
          <w:szCs w:val="22"/>
        </w:rPr>
        <w:t xml:space="preserve">is commandments, and have persevered in </w:t>
      </w:r>
      <w:r>
        <w:rPr>
          <w:color w:val="000000"/>
          <w:szCs w:val="22"/>
        </w:rPr>
        <w:t>h</w:t>
      </w:r>
      <w:r w:rsidRPr="009A204A">
        <w:rPr>
          <w:color w:val="000000"/>
          <w:szCs w:val="22"/>
        </w:rPr>
        <w:t>is love, some from the beginning, and others from their repentance, and may surround them with everlasting glory.</w:t>
      </w:r>
      <w:r w:rsidR="00DF156E">
        <w:rPr>
          <w:color w:val="000000"/>
          <w:szCs w:val="22"/>
        </w:rPr>
        <w:t xml:space="preserve"> (</w:t>
      </w:r>
      <w:r w:rsidR="00DF156E">
        <w:rPr>
          <w:i/>
          <w:iCs/>
          <w:color w:val="000000"/>
          <w:szCs w:val="22"/>
        </w:rPr>
        <w:t>Haer.</w:t>
      </w:r>
      <w:r w:rsidR="00DF156E">
        <w:rPr>
          <w:color w:val="000000"/>
          <w:szCs w:val="22"/>
        </w:rPr>
        <w:t xml:space="preserve"> 1.10.1)</w:t>
      </w:r>
    </w:p>
    <w:p w14:paraId="6BEE33A7" w14:textId="25C13635" w:rsidR="00A3788A" w:rsidRDefault="00A3788A" w:rsidP="00CA580B">
      <w:pPr>
        <w:tabs>
          <w:tab w:val="left" w:pos="-720"/>
        </w:tabs>
        <w:suppressAutoHyphens/>
        <w:rPr>
          <w:szCs w:val="22"/>
          <w:lang w:val="en-GB"/>
        </w:rPr>
      </w:pPr>
      <w:r w:rsidRPr="007C5AF0">
        <w:rPr>
          <w:szCs w:val="22"/>
          <w:lang w:val="en-GB"/>
        </w:rPr>
        <w:t xml:space="preserve">It is striking that all the items pertaining to the work of Christ, which in the creeds from the fourth century onwards appear under the second article, are here given in the third article, as that which was foretold by the Spirit through the prophets. This is so because it is the words of the prophets that provides the material, the tiles of the mosaic, for the apostolic preaching. </w:t>
      </w:r>
      <w:r w:rsidR="00CA580B">
        <w:rPr>
          <w:szCs w:val="22"/>
          <w:lang w:val="en-GB"/>
        </w:rPr>
        <w:t xml:space="preserve"> </w:t>
      </w:r>
      <w:r w:rsidRPr="007C5AF0">
        <w:rPr>
          <w:szCs w:val="22"/>
          <w:lang w:val="en-GB"/>
        </w:rPr>
        <w:t xml:space="preserve">Yet, despite this connection with baptism, the rule of truth is not given in a declarative form, as would be the creeds used in baptism from the fourth century onwards. </w:t>
      </w:r>
      <w:r>
        <w:rPr>
          <w:szCs w:val="22"/>
          <w:lang w:val="en-GB"/>
        </w:rPr>
        <w:t>Also, unlike the later creeds (the lowest commonly accepted denominator), for Irenaeus the canon was flexible in its wording: as the verbal expression of the hypothesis, it could be phrased differently in different contexts.</w:t>
      </w:r>
    </w:p>
    <w:p w14:paraId="2C40755F" w14:textId="77777777" w:rsidR="00A3788A" w:rsidRDefault="00A3788A" w:rsidP="00CA580B">
      <w:pPr>
        <w:rPr>
          <w:bCs/>
          <w:iCs/>
          <w:szCs w:val="22"/>
          <w:lang w:val="en-GB"/>
        </w:rPr>
      </w:pPr>
    </w:p>
    <w:p w14:paraId="3FE37FF9" w14:textId="77777777" w:rsidR="00A3788A" w:rsidRPr="007C5AF0" w:rsidRDefault="00A3788A" w:rsidP="00CA580B">
      <w:pPr>
        <w:rPr>
          <w:bCs/>
          <w:iCs/>
          <w:szCs w:val="22"/>
          <w:lang w:val="en-GB"/>
        </w:rPr>
      </w:pPr>
      <w:r>
        <w:rPr>
          <w:bCs/>
          <w:iCs/>
          <w:szCs w:val="22"/>
          <w:lang w:val="en-GB"/>
        </w:rPr>
        <w:t>Irenaeus then continues by affirming the universality and unchanging nature of the preaching and the faith:</w:t>
      </w:r>
    </w:p>
    <w:p w14:paraId="4E98C6A7" w14:textId="08B3AE6C" w:rsidR="00A3788A" w:rsidRPr="007C5AF0" w:rsidRDefault="00A3788A" w:rsidP="00CA580B">
      <w:pPr>
        <w:autoSpaceDE w:val="0"/>
        <w:autoSpaceDN w:val="0"/>
        <w:adjustRightInd w:val="0"/>
        <w:ind w:left="720"/>
        <w:rPr>
          <w:color w:val="000000"/>
          <w:szCs w:val="22"/>
        </w:rPr>
      </w:pPr>
      <w:r w:rsidRPr="007C5AF0">
        <w:rPr>
          <w:color w:val="000000"/>
          <w:szCs w:val="22"/>
        </w:rPr>
        <w:t xml:space="preserve">As I have already observed, the Church, having received this preaching and this faith, although scattered throughout the whole world, yet, as if occupying but one house, carefully preserves it. She also believes these just as if she had but one soul, and one and the same heart, and she proclaims them, and teaches them, and hands them down, with perfect harmony, as if she possessed only one mouth. For, although the languages of the world are dissimilar, yet the import of the tradition is one and the same. For the Churches which have been planted in Germany do not believe or hand down anything different, nor do those in Spain, nor those in Gaul, nor those in the East, nor those in Egypt, nor those in Libya, nor those which have been established in the central regions of the world. But as the sun, that creature of God, is one and the same throughout the whole world, so also the preaching of the truth shineth everywhere, and enlightens all men that are willing to come to a knowledge of the truth. Nor will any one of the rulers in the Churches, however highly gifted he may be in point of eloquence, teach doctrines different from these (for no one is greater than the Master); nor, on the other hand, will he who is deficient in power of expression inflict injury on the tradition. For the faith being ever one and the same, neither does one who is able at </w:t>
      </w:r>
      <w:r w:rsidRPr="007C5AF0">
        <w:rPr>
          <w:color w:val="000000"/>
          <w:szCs w:val="22"/>
        </w:rPr>
        <w:lastRenderedPageBreak/>
        <w:t>great length to discourse regarding it, make any addition to it, nor does one, who can say but little diminish it.</w:t>
      </w:r>
      <w:r w:rsidR="00DF156E">
        <w:rPr>
          <w:color w:val="000000"/>
          <w:szCs w:val="22"/>
        </w:rPr>
        <w:t xml:space="preserve"> (</w:t>
      </w:r>
      <w:r w:rsidR="00DF156E">
        <w:rPr>
          <w:i/>
          <w:iCs/>
          <w:color w:val="000000"/>
          <w:szCs w:val="22"/>
        </w:rPr>
        <w:t>Haer</w:t>
      </w:r>
      <w:r w:rsidR="00DF156E">
        <w:rPr>
          <w:color w:val="000000"/>
          <w:szCs w:val="22"/>
        </w:rPr>
        <w:t>. 1.10.2)</w:t>
      </w:r>
    </w:p>
    <w:p w14:paraId="4F419A0C" w14:textId="77777777" w:rsidR="00A3788A" w:rsidRPr="007C5AF0" w:rsidRDefault="00A3788A" w:rsidP="00CA580B">
      <w:pPr>
        <w:rPr>
          <w:bCs/>
          <w:iCs/>
          <w:szCs w:val="22"/>
          <w:lang w:val="en-GB"/>
        </w:rPr>
      </w:pPr>
      <w:r>
        <w:rPr>
          <w:bCs/>
          <w:iCs/>
          <w:szCs w:val="22"/>
          <w:lang w:val="en-GB"/>
        </w:rPr>
        <w:t>And finally, Irenaeus concludes this section on hypothesis/canon with this statement:</w:t>
      </w:r>
    </w:p>
    <w:p w14:paraId="2C7DBFD8" w14:textId="77777777" w:rsidR="00A3788A" w:rsidRPr="00B03094" w:rsidRDefault="00A3788A" w:rsidP="00CA580B">
      <w:pPr>
        <w:autoSpaceDE w:val="0"/>
        <w:autoSpaceDN w:val="0"/>
        <w:adjustRightInd w:val="0"/>
        <w:ind w:left="720"/>
        <w:rPr>
          <w:b/>
          <w:bCs/>
          <w:color w:val="000000"/>
          <w:szCs w:val="22"/>
        </w:rPr>
      </w:pPr>
      <w:r w:rsidRPr="00B03094">
        <w:rPr>
          <w:color w:val="000000"/>
          <w:szCs w:val="22"/>
        </w:rPr>
        <w:t>It does not follow because men are endowed with greater and less degrees of intelligence, that they should therefore change the supposition itself and should conceive of some other God besides Him who is the Framer, Maker, and Preserver of this universe, (as if He were not sufficient for them), or of another Christ, or another Only-begotten. But the fact referred to simply implies this, that:</w:t>
      </w:r>
    </w:p>
    <w:p w14:paraId="6F359DC7" w14:textId="70372BE4" w:rsidR="00A3788A" w:rsidRPr="00B03094" w:rsidRDefault="00A3788A" w:rsidP="00CA580B">
      <w:pPr>
        <w:autoSpaceDE w:val="0"/>
        <w:autoSpaceDN w:val="0"/>
        <w:adjustRightInd w:val="0"/>
        <w:ind w:left="720"/>
        <w:rPr>
          <w:color w:val="000000"/>
          <w:szCs w:val="22"/>
        </w:rPr>
      </w:pPr>
      <w:r w:rsidRPr="00B03094">
        <w:rPr>
          <w:color w:val="000000"/>
          <w:szCs w:val="22"/>
        </w:rPr>
        <w:t>one may bring out the meaning of those things which have been spoken in parables, and accommodate them to the hypothesis of the truth,</w:t>
      </w:r>
    </w:p>
    <w:p w14:paraId="76F2D31A" w14:textId="77777777" w:rsidR="00A3788A" w:rsidRPr="00B03094" w:rsidRDefault="00A3788A" w:rsidP="00CA580B">
      <w:pPr>
        <w:autoSpaceDE w:val="0"/>
        <w:autoSpaceDN w:val="0"/>
        <w:adjustRightInd w:val="0"/>
        <w:ind w:left="720"/>
        <w:rPr>
          <w:color w:val="000000"/>
          <w:szCs w:val="22"/>
        </w:rPr>
      </w:pPr>
      <w:r w:rsidRPr="00B03094">
        <w:rPr>
          <w:color w:val="000000"/>
          <w:szCs w:val="22"/>
        </w:rPr>
        <w:t xml:space="preserve">and explain the operation and dispensation of God connected with human </w:t>
      </w:r>
      <w:proofErr w:type="gramStart"/>
      <w:r w:rsidRPr="00B03094">
        <w:rPr>
          <w:color w:val="000000"/>
          <w:szCs w:val="22"/>
        </w:rPr>
        <w:t>salvation;</w:t>
      </w:r>
      <w:proofErr w:type="gramEnd"/>
      <w:r w:rsidRPr="00B03094">
        <w:rPr>
          <w:color w:val="000000"/>
          <w:szCs w:val="22"/>
        </w:rPr>
        <w:t xml:space="preserve"> </w:t>
      </w:r>
    </w:p>
    <w:p w14:paraId="5C99775E" w14:textId="77777777" w:rsidR="00A3788A" w:rsidRPr="00B03094" w:rsidRDefault="00A3788A" w:rsidP="00CA580B">
      <w:pPr>
        <w:autoSpaceDE w:val="0"/>
        <w:autoSpaceDN w:val="0"/>
        <w:adjustRightInd w:val="0"/>
        <w:ind w:left="720"/>
        <w:rPr>
          <w:color w:val="000000"/>
          <w:szCs w:val="22"/>
        </w:rPr>
      </w:pPr>
      <w:r w:rsidRPr="00B03094">
        <w:rPr>
          <w:color w:val="000000"/>
          <w:szCs w:val="22"/>
        </w:rPr>
        <w:t xml:space="preserve">and show that God manifested longsuffering </w:t>
      </w:r>
      <w:proofErr w:type="gramStart"/>
      <w:r w:rsidRPr="00B03094">
        <w:rPr>
          <w:color w:val="000000"/>
          <w:szCs w:val="22"/>
        </w:rPr>
        <w:t>in regard to</w:t>
      </w:r>
      <w:proofErr w:type="gramEnd"/>
      <w:r w:rsidRPr="00B03094">
        <w:rPr>
          <w:color w:val="000000"/>
          <w:szCs w:val="22"/>
        </w:rPr>
        <w:t xml:space="preserve"> the apostasy of the angels who transgressed, as also with respect to the disobedience of </w:t>
      </w:r>
      <w:proofErr w:type="gramStart"/>
      <w:r>
        <w:rPr>
          <w:color w:val="000000"/>
          <w:szCs w:val="22"/>
        </w:rPr>
        <w:t>humans</w:t>
      </w:r>
      <w:r w:rsidRPr="00B03094">
        <w:rPr>
          <w:color w:val="000000"/>
          <w:szCs w:val="22"/>
        </w:rPr>
        <w:t>;</w:t>
      </w:r>
      <w:proofErr w:type="gramEnd"/>
      <w:r w:rsidRPr="00B03094">
        <w:rPr>
          <w:color w:val="000000"/>
          <w:szCs w:val="22"/>
        </w:rPr>
        <w:t xml:space="preserve"> </w:t>
      </w:r>
    </w:p>
    <w:p w14:paraId="068532C9" w14:textId="77777777" w:rsidR="00A3788A" w:rsidRPr="00B03094" w:rsidRDefault="00A3788A" w:rsidP="00CA580B">
      <w:pPr>
        <w:autoSpaceDE w:val="0"/>
        <w:autoSpaceDN w:val="0"/>
        <w:adjustRightInd w:val="0"/>
        <w:ind w:left="720"/>
        <w:rPr>
          <w:color w:val="000000"/>
          <w:szCs w:val="22"/>
        </w:rPr>
      </w:pPr>
      <w:r w:rsidRPr="00B03094">
        <w:rPr>
          <w:color w:val="000000"/>
          <w:szCs w:val="22"/>
        </w:rPr>
        <w:t xml:space="preserve">and set forth why it is that one and the same God has made some things temporal and some eternal, some heavenly and others </w:t>
      </w:r>
      <w:proofErr w:type="gramStart"/>
      <w:r w:rsidRPr="00B03094">
        <w:rPr>
          <w:color w:val="000000"/>
          <w:szCs w:val="22"/>
        </w:rPr>
        <w:t>earthly;</w:t>
      </w:r>
      <w:proofErr w:type="gramEnd"/>
      <w:r w:rsidRPr="00B03094">
        <w:rPr>
          <w:color w:val="000000"/>
          <w:szCs w:val="22"/>
        </w:rPr>
        <w:t xml:space="preserve"> </w:t>
      </w:r>
    </w:p>
    <w:p w14:paraId="3EF9F022" w14:textId="77777777" w:rsidR="00A3788A" w:rsidRPr="00B03094" w:rsidRDefault="00A3788A" w:rsidP="00CA580B">
      <w:pPr>
        <w:autoSpaceDE w:val="0"/>
        <w:autoSpaceDN w:val="0"/>
        <w:adjustRightInd w:val="0"/>
        <w:ind w:left="720"/>
        <w:rPr>
          <w:color w:val="000000"/>
          <w:szCs w:val="22"/>
        </w:rPr>
      </w:pPr>
      <w:r w:rsidRPr="00B03094">
        <w:rPr>
          <w:color w:val="000000"/>
          <w:szCs w:val="22"/>
        </w:rPr>
        <w:t xml:space="preserve">and understand for what reason God, though invisible, manifested </w:t>
      </w:r>
      <w:r>
        <w:rPr>
          <w:color w:val="000000"/>
          <w:szCs w:val="22"/>
        </w:rPr>
        <w:t>h</w:t>
      </w:r>
      <w:r w:rsidRPr="00B03094">
        <w:rPr>
          <w:color w:val="000000"/>
          <w:szCs w:val="22"/>
        </w:rPr>
        <w:t xml:space="preserve">imself to the prophets not under one form, but differently to different </w:t>
      </w:r>
      <w:proofErr w:type="gramStart"/>
      <w:r w:rsidRPr="00B03094">
        <w:rPr>
          <w:color w:val="000000"/>
          <w:szCs w:val="22"/>
        </w:rPr>
        <w:t>individuals;</w:t>
      </w:r>
      <w:proofErr w:type="gramEnd"/>
      <w:r w:rsidRPr="00B03094">
        <w:rPr>
          <w:color w:val="000000"/>
          <w:szCs w:val="22"/>
        </w:rPr>
        <w:t xml:space="preserve"> </w:t>
      </w:r>
    </w:p>
    <w:p w14:paraId="157E1B26" w14:textId="77777777" w:rsidR="00A3788A" w:rsidRPr="00B03094" w:rsidRDefault="00A3788A" w:rsidP="00CA580B">
      <w:pPr>
        <w:autoSpaceDE w:val="0"/>
        <w:autoSpaceDN w:val="0"/>
        <w:adjustRightInd w:val="0"/>
        <w:ind w:left="720"/>
        <w:rPr>
          <w:color w:val="000000"/>
          <w:szCs w:val="22"/>
        </w:rPr>
      </w:pPr>
      <w:r w:rsidRPr="00B03094">
        <w:rPr>
          <w:color w:val="000000"/>
          <w:szCs w:val="22"/>
        </w:rPr>
        <w:t xml:space="preserve">and show why it was that more covenants than one </w:t>
      </w:r>
      <w:proofErr w:type="gramStart"/>
      <w:r w:rsidRPr="00B03094">
        <w:rPr>
          <w:color w:val="000000"/>
          <w:szCs w:val="22"/>
        </w:rPr>
        <w:t>were</w:t>
      </w:r>
      <w:proofErr w:type="gramEnd"/>
      <w:r w:rsidRPr="00B03094">
        <w:rPr>
          <w:color w:val="000000"/>
          <w:szCs w:val="22"/>
        </w:rPr>
        <w:t xml:space="preserve"> given to </w:t>
      </w:r>
      <w:proofErr w:type="gramStart"/>
      <w:r>
        <w:rPr>
          <w:color w:val="000000"/>
          <w:szCs w:val="22"/>
        </w:rPr>
        <w:t>hu</w:t>
      </w:r>
      <w:r w:rsidRPr="00B03094">
        <w:rPr>
          <w:color w:val="000000"/>
          <w:szCs w:val="22"/>
        </w:rPr>
        <w:t>mankind;</w:t>
      </w:r>
      <w:proofErr w:type="gramEnd"/>
      <w:r w:rsidRPr="00B03094">
        <w:rPr>
          <w:color w:val="000000"/>
          <w:szCs w:val="22"/>
        </w:rPr>
        <w:t xml:space="preserve"> </w:t>
      </w:r>
    </w:p>
    <w:p w14:paraId="21E44FA2" w14:textId="77777777" w:rsidR="00A3788A" w:rsidRPr="00B03094" w:rsidRDefault="00A3788A" w:rsidP="00CA580B">
      <w:pPr>
        <w:autoSpaceDE w:val="0"/>
        <w:autoSpaceDN w:val="0"/>
        <w:adjustRightInd w:val="0"/>
        <w:ind w:left="720"/>
        <w:rPr>
          <w:color w:val="000000"/>
          <w:szCs w:val="22"/>
        </w:rPr>
      </w:pPr>
      <w:r w:rsidRPr="00B03094">
        <w:rPr>
          <w:color w:val="000000"/>
          <w:szCs w:val="22"/>
        </w:rPr>
        <w:t xml:space="preserve">and teach what was the special character of each of these </w:t>
      </w:r>
      <w:proofErr w:type="gramStart"/>
      <w:r w:rsidRPr="00B03094">
        <w:rPr>
          <w:color w:val="000000"/>
          <w:szCs w:val="22"/>
        </w:rPr>
        <w:t>covenants;</w:t>
      </w:r>
      <w:proofErr w:type="gramEnd"/>
      <w:r w:rsidRPr="00B03094">
        <w:rPr>
          <w:color w:val="000000"/>
          <w:szCs w:val="22"/>
        </w:rPr>
        <w:t xml:space="preserve"> </w:t>
      </w:r>
    </w:p>
    <w:p w14:paraId="4ECFB0A0" w14:textId="77777777" w:rsidR="00A3788A" w:rsidRPr="00B03094" w:rsidRDefault="00A3788A" w:rsidP="00CA580B">
      <w:pPr>
        <w:autoSpaceDE w:val="0"/>
        <w:autoSpaceDN w:val="0"/>
        <w:adjustRightInd w:val="0"/>
        <w:ind w:left="720"/>
        <w:rPr>
          <w:color w:val="000000"/>
          <w:szCs w:val="22"/>
        </w:rPr>
      </w:pPr>
      <w:r w:rsidRPr="00B03094">
        <w:rPr>
          <w:color w:val="000000"/>
          <w:szCs w:val="22"/>
        </w:rPr>
        <w:t xml:space="preserve">and search out for what reason “God hath concluded </w:t>
      </w:r>
      <w:proofErr w:type="gramStart"/>
      <w:r w:rsidRPr="00B03094">
        <w:rPr>
          <w:color w:val="000000"/>
          <w:szCs w:val="22"/>
        </w:rPr>
        <w:t xml:space="preserve">every </w:t>
      </w:r>
      <w:r>
        <w:rPr>
          <w:color w:val="000000"/>
          <w:szCs w:val="22"/>
        </w:rPr>
        <w:t>one</w:t>
      </w:r>
      <w:proofErr w:type="gramEnd"/>
      <w:r>
        <w:rPr>
          <w:color w:val="000000"/>
          <w:szCs w:val="22"/>
        </w:rPr>
        <w:t xml:space="preserve"> </w:t>
      </w:r>
      <w:r w:rsidRPr="00B03094">
        <w:rPr>
          <w:color w:val="000000"/>
          <w:szCs w:val="22"/>
        </w:rPr>
        <w:t xml:space="preserve">in unbelief, that </w:t>
      </w:r>
      <w:r>
        <w:rPr>
          <w:color w:val="000000"/>
          <w:szCs w:val="22"/>
        </w:rPr>
        <w:t>h</w:t>
      </w:r>
      <w:r w:rsidRPr="00B03094">
        <w:rPr>
          <w:color w:val="000000"/>
          <w:szCs w:val="22"/>
        </w:rPr>
        <w:t xml:space="preserve">e may have mercy upon all;” </w:t>
      </w:r>
    </w:p>
    <w:p w14:paraId="10B7BB80" w14:textId="77777777" w:rsidR="00A3788A" w:rsidRPr="00B03094" w:rsidRDefault="00A3788A" w:rsidP="00CA580B">
      <w:pPr>
        <w:autoSpaceDE w:val="0"/>
        <w:autoSpaceDN w:val="0"/>
        <w:adjustRightInd w:val="0"/>
        <w:ind w:left="720"/>
        <w:rPr>
          <w:color w:val="000000"/>
          <w:szCs w:val="22"/>
        </w:rPr>
      </w:pPr>
      <w:r w:rsidRPr="00B03094">
        <w:rPr>
          <w:color w:val="000000"/>
          <w:szCs w:val="22"/>
        </w:rPr>
        <w:t xml:space="preserve">and gratefully describe on what account the Word of God became flesh and </w:t>
      </w:r>
      <w:proofErr w:type="gramStart"/>
      <w:r w:rsidRPr="00B03094">
        <w:rPr>
          <w:color w:val="000000"/>
          <w:szCs w:val="22"/>
        </w:rPr>
        <w:t>suffered;</w:t>
      </w:r>
      <w:proofErr w:type="gramEnd"/>
      <w:r w:rsidRPr="00B03094">
        <w:rPr>
          <w:color w:val="000000"/>
          <w:szCs w:val="22"/>
        </w:rPr>
        <w:t xml:space="preserve"> </w:t>
      </w:r>
    </w:p>
    <w:p w14:paraId="73A0DB03" w14:textId="77777777" w:rsidR="00A3788A" w:rsidRPr="00B03094" w:rsidRDefault="00A3788A" w:rsidP="00CA580B">
      <w:pPr>
        <w:autoSpaceDE w:val="0"/>
        <w:autoSpaceDN w:val="0"/>
        <w:adjustRightInd w:val="0"/>
        <w:ind w:left="720"/>
        <w:rPr>
          <w:color w:val="000000"/>
          <w:szCs w:val="22"/>
        </w:rPr>
      </w:pPr>
      <w:r w:rsidRPr="00B03094">
        <w:rPr>
          <w:color w:val="000000"/>
          <w:szCs w:val="22"/>
        </w:rPr>
        <w:t xml:space="preserve">and relate why the advent of the Son of God took place in these last times, that is, in the end, rather than in the </w:t>
      </w:r>
      <w:proofErr w:type="gramStart"/>
      <w:r w:rsidRPr="00B03094">
        <w:rPr>
          <w:color w:val="000000"/>
          <w:szCs w:val="22"/>
        </w:rPr>
        <w:t>beginning;</w:t>
      </w:r>
      <w:proofErr w:type="gramEnd"/>
      <w:r w:rsidRPr="00B03094">
        <w:rPr>
          <w:color w:val="000000"/>
          <w:szCs w:val="22"/>
        </w:rPr>
        <w:t xml:space="preserve"> </w:t>
      </w:r>
    </w:p>
    <w:p w14:paraId="7CFF0729" w14:textId="77777777" w:rsidR="00A3788A" w:rsidRPr="00B03094" w:rsidRDefault="00A3788A" w:rsidP="00CA580B">
      <w:pPr>
        <w:autoSpaceDE w:val="0"/>
        <w:autoSpaceDN w:val="0"/>
        <w:adjustRightInd w:val="0"/>
        <w:ind w:left="720"/>
        <w:rPr>
          <w:color w:val="000000"/>
          <w:szCs w:val="22"/>
        </w:rPr>
      </w:pPr>
      <w:r w:rsidRPr="00B03094">
        <w:rPr>
          <w:color w:val="000000"/>
          <w:szCs w:val="22"/>
        </w:rPr>
        <w:t xml:space="preserve">and unfold what is contained in the Scriptures concerning the end, and things to </w:t>
      </w:r>
      <w:proofErr w:type="gramStart"/>
      <w:r w:rsidRPr="00B03094">
        <w:rPr>
          <w:color w:val="000000"/>
          <w:szCs w:val="22"/>
        </w:rPr>
        <w:t>come;</w:t>
      </w:r>
      <w:proofErr w:type="gramEnd"/>
      <w:r w:rsidRPr="00B03094">
        <w:rPr>
          <w:color w:val="000000"/>
          <w:szCs w:val="22"/>
        </w:rPr>
        <w:t xml:space="preserve"> </w:t>
      </w:r>
    </w:p>
    <w:p w14:paraId="5EC2A083" w14:textId="77777777" w:rsidR="00A3788A" w:rsidRPr="00B03094" w:rsidRDefault="00A3788A" w:rsidP="00CA580B">
      <w:pPr>
        <w:autoSpaceDE w:val="0"/>
        <w:autoSpaceDN w:val="0"/>
        <w:adjustRightInd w:val="0"/>
        <w:ind w:left="720"/>
        <w:rPr>
          <w:color w:val="000000"/>
          <w:szCs w:val="22"/>
        </w:rPr>
      </w:pPr>
      <w:r w:rsidRPr="00B03094">
        <w:rPr>
          <w:color w:val="000000"/>
          <w:szCs w:val="22"/>
        </w:rPr>
        <w:t xml:space="preserve">and not be silent as to how it is that God has made the Gentiles, whose salvation was despaired of, fellow-heirs, and of the same body, and partakers with the </w:t>
      </w:r>
      <w:proofErr w:type="gramStart"/>
      <w:r w:rsidRPr="00B03094">
        <w:rPr>
          <w:color w:val="000000"/>
          <w:szCs w:val="22"/>
        </w:rPr>
        <w:t>saints;</w:t>
      </w:r>
      <w:proofErr w:type="gramEnd"/>
      <w:r w:rsidRPr="00B03094">
        <w:rPr>
          <w:color w:val="000000"/>
          <w:szCs w:val="22"/>
        </w:rPr>
        <w:t xml:space="preserve"> </w:t>
      </w:r>
    </w:p>
    <w:p w14:paraId="6B949BBA" w14:textId="77777777" w:rsidR="00A3788A" w:rsidRPr="00B03094" w:rsidRDefault="00A3788A" w:rsidP="00CA580B">
      <w:pPr>
        <w:autoSpaceDE w:val="0"/>
        <w:autoSpaceDN w:val="0"/>
        <w:adjustRightInd w:val="0"/>
        <w:ind w:left="720"/>
        <w:rPr>
          <w:color w:val="000000"/>
          <w:szCs w:val="22"/>
        </w:rPr>
      </w:pPr>
      <w:r w:rsidRPr="00B03094">
        <w:rPr>
          <w:color w:val="000000"/>
          <w:szCs w:val="22"/>
        </w:rPr>
        <w:t xml:space="preserve">and discourse how it is that “this mortal body shall put on immortality, and this corruptible shall put on incorruption;” </w:t>
      </w:r>
    </w:p>
    <w:p w14:paraId="3F271C1E" w14:textId="77777777" w:rsidR="00A3788A" w:rsidRPr="00B03094" w:rsidRDefault="00A3788A" w:rsidP="00CA580B">
      <w:pPr>
        <w:autoSpaceDE w:val="0"/>
        <w:autoSpaceDN w:val="0"/>
        <w:adjustRightInd w:val="0"/>
        <w:ind w:left="720"/>
        <w:rPr>
          <w:color w:val="000000"/>
          <w:szCs w:val="22"/>
        </w:rPr>
      </w:pPr>
      <w:r w:rsidRPr="00B03094">
        <w:rPr>
          <w:color w:val="000000"/>
          <w:szCs w:val="22"/>
        </w:rPr>
        <w:t xml:space="preserve">and proclaim in what sense [God] says, “That is a people who was not a people; and she is beloved who was not beloved;” and in what sense </w:t>
      </w:r>
      <w:r>
        <w:rPr>
          <w:color w:val="000000"/>
          <w:szCs w:val="22"/>
        </w:rPr>
        <w:t>h</w:t>
      </w:r>
      <w:r w:rsidRPr="00B03094">
        <w:rPr>
          <w:color w:val="000000"/>
          <w:szCs w:val="22"/>
        </w:rPr>
        <w:t xml:space="preserve">e says that “more are the children of her that was desolate, than of her who possessed a husband.” </w:t>
      </w:r>
    </w:p>
    <w:p w14:paraId="5A6E73CD" w14:textId="13E9948C" w:rsidR="00A3788A" w:rsidRPr="00B03094" w:rsidRDefault="00A3788A" w:rsidP="00CA580B">
      <w:pPr>
        <w:ind w:left="720"/>
        <w:rPr>
          <w:b/>
          <w:szCs w:val="22"/>
          <w:lang w:val="en-GB"/>
        </w:rPr>
      </w:pPr>
      <w:r w:rsidRPr="00B03094">
        <w:rPr>
          <w:color w:val="000000"/>
          <w:szCs w:val="22"/>
        </w:rPr>
        <w:t xml:space="preserve">For in reference to these points, and others of a like nature, the apostle exclaims: “Oh! the depth of the riches both of the wisdom and knowledge of God; how unsearchable are </w:t>
      </w:r>
      <w:r>
        <w:rPr>
          <w:color w:val="000000"/>
          <w:szCs w:val="22"/>
        </w:rPr>
        <w:t>h</w:t>
      </w:r>
      <w:r w:rsidRPr="00B03094">
        <w:rPr>
          <w:color w:val="000000"/>
          <w:szCs w:val="22"/>
        </w:rPr>
        <w:t>is judgments, and His ways past finding out!”</w:t>
      </w:r>
      <w:r w:rsidR="00DF156E">
        <w:rPr>
          <w:color w:val="000000"/>
          <w:szCs w:val="22"/>
        </w:rPr>
        <w:t xml:space="preserve"> (</w:t>
      </w:r>
      <w:r w:rsidR="00DF156E">
        <w:rPr>
          <w:i/>
          <w:iCs/>
          <w:color w:val="000000"/>
          <w:szCs w:val="22"/>
        </w:rPr>
        <w:t>Haer</w:t>
      </w:r>
      <w:r w:rsidR="00DF156E">
        <w:rPr>
          <w:color w:val="000000"/>
          <w:szCs w:val="22"/>
        </w:rPr>
        <w:t>. 1.10.3)</w:t>
      </w:r>
    </w:p>
    <w:p w14:paraId="5A5D758F" w14:textId="77777777" w:rsidR="00A3788A" w:rsidRPr="007C5AF0" w:rsidRDefault="00A3788A" w:rsidP="00CA580B">
      <w:pPr>
        <w:rPr>
          <w:bCs/>
          <w:iCs/>
          <w:szCs w:val="22"/>
          <w:lang w:val="en-GB"/>
        </w:rPr>
      </w:pPr>
    </w:p>
    <w:p w14:paraId="3FA0BB4A" w14:textId="28D1D5BA" w:rsidR="00A3788A" w:rsidRPr="00DF156E" w:rsidRDefault="00A3788A" w:rsidP="00CA580B">
      <w:pPr>
        <w:rPr>
          <w:bCs/>
          <w:iCs/>
          <w:szCs w:val="22"/>
          <w:lang w:val="en-GB"/>
        </w:rPr>
      </w:pPr>
      <w:r>
        <w:rPr>
          <w:bCs/>
          <w:iCs/>
          <w:szCs w:val="22"/>
          <w:lang w:val="en-GB"/>
        </w:rPr>
        <w:t>What are we to make of all this? And how does it shape what we think canons/creeds are?</w:t>
      </w:r>
      <w:r w:rsidR="00DF156E">
        <w:rPr>
          <w:bCs/>
          <w:iCs/>
          <w:szCs w:val="22"/>
          <w:lang w:val="en-GB"/>
        </w:rPr>
        <w:t xml:space="preserve"> The m</w:t>
      </w:r>
      <w:r>
        <w:rPr>
          <w:bCs/>
          <w:iCs/>
          <w:szCs w:val="22"/>
          <w:lang w:val="en-GB"/>
        </w:rPr>
        <w:t>ost important</w:t>
      </w:r>
      <w:r w:rsidR="00DF156E">
        <w:rPr>
          <w:bCs/>
          <w:iCs/>
          <w:szCs w:val="22"/>
          <w:lang w:val="en-GB"/>
        </w:rPr>
        <w:t xml:space="preserve"> is that</w:t>
      </w:r>
      <w:r>
        <w:rPr>
          <w:bCs/>
          <w:iCs/>
          <w:szCs w:val="22"/>
          <w:lang w:val="en-GB"/>
        </w:rPr>
        <w:t xml:space="preserve"> the canon is not there to curtail thought, but to make thought possible:</w:t>
      </w:r>
      <w:r w:rsidR="00DF156E">
        <w:rPr>
          <w:bCs/>
          <w:iCs/>
          <w:szCs w:val="22"/>
          <w:lang w:val="en-GB"/>
        </w:rPr>
        <w:t xml:space="preserve"> </w:t>
      </w:r>
      <w:r>
        <w:rPr>
          <w:bCs/>
          <w:iCs/>
          <w:szCs w:val="22"/>
          <w:lang w:val="en-GB"/>
        </w:rPr>
        <w:t>that is the very point of a canon.</w:t>
      </w:r>
      <w:r w:rsidR="00DF156E">
        <w:rPr>
          <w:rStyle w:val="FootnoteReference"/>
          <w:bCs/>
          <w:iCs/>
          <w:szCs w:val="22"/>
          <w:lang w:val="en-GB"/>
        </w:rPr>
        <w:footnoteReference w:id="12"/>
      </w:r>
      <w:r w:rsidR="00DF156E">
        <w:rPr>
          <w:bCs/>
          <w:iCs/>
          <w:szCs w:val="22"/>
          <w:lang w:val="en-GB"/>
        </w:rPr>
        <w:t xml:space="preserve"> </w:t>
      </w:r>
      <w:r>
        <w:rPr>
          <w:bCs/>
          <w:iCs/>
          <w:szCs w:val="22"/>
          <w:lang w:val="en-GB"/>
        </w:rPr>
        <w:t>Equally important</w:t>
      </w:r>
      <w:r w:rsidR="00072EE1">
        <w:rPr>
          <w:bCs/>
          <w:iCs/>
          <w:szCs w:val="22"/>
          <w:lang w:val="en-GB"/>
        </w:rPr>
        <w:t xml:space="preserve"> is that</w:t>
      </w:r>
      <w:r>
        <w:rPr>
          <w:bCs/>
          <w:iCs/>
          <w:szCs w:val="22"/>
          <w:lang w:val="en-GB"/>
        </w:rPr>
        <w:t xml:space="preserve"> it is by reference to the canon that a believer is able, to use Irenaeus’ image, </w:t>
      </w:r>
      <w:r w:rsidRPr="007C5AF0">
        <w:rPr>
          <w:szCs w:val="22"/>
          <w:lang w:val="en-GB"/>
        </w:rPr>
        <w:t xml:space="preserve">to restore each passage of Scripture to its proper place in the body of truth, each tile of the mosaic to its proper place depicting the image of the king. </w:t>
      </w:r>
      <w:r w:rsidR="00DF156E">
        <w:rPr>
          <w:bCs/>
          <w:iCs/>
          <w:szCs w:val="22"/>
          <w:lang w:val="en-GB"/>
        </w:rPr>
        <w:t xml:space="preserve"> </w:t>
      </w:r>
      <w:r w:rsidRPr="007C5AF0">
        <w:rPr>
          <w:szCs w:val="22"/>
          <w:lang w:val="en-GB"/>
        </w:rPr>
        <w:t>The ‘canon of truth’ is not simply a set of inherited doctrines existing apart from Scripture, but is, rather, an articulation of the hypothesis in a particular situation, outlining the presupposition needed for seeing in Scripture the image of the king, the Christ revealed in and through the Gospel, the apostolic preaching ‘</w:t>
      </w:r>
      <w:r w:rsidR="00072EE1">
        <w:rPr>
          <w:szCs w:val="22"/>
          <w:lang w:val="en-GB"/>
        </w:rPr>
        <w:t xml:space="preserve">in </w:t>
      </w:r>
      <w:r w:rsidRPr="007C5AF0">
        <w:rPr>
          <w:szCs w:val="22"/>
          <w:lang w:val="en-GB"/>
        </w:rPr>
        <w:t>accord</w:t>
      </w:r>
      <w:r w:rsidR="00072EE1">
        <w:rPr>
          <w:szCs w:val="22"/>
          <w:lang w:val="en-GB"/>
        </w:rPr>
        <w:t xml:space="preserve">ance with </w:t>
      </w:r>
      <w:proofErr w:type="spellStart"/>
      <w:r w:rsidR="00072EE1">
        <w:rPr>
          <w:szCs w:val="22"/>
          <w:lang w:val="en-GB"/>
        </w:rPr>
        <w:t>thes</w:t>
      </w:r>
      <w:proofErr w:type="spellEnd"/>
      <w:r w:rsidRPr="007C5AF0">
        <w:rPr>
          <w:szCs w:val="22"/>
          <w:lang w:val="en-GB"/>
        </w:rPr>
        <w:t xml:space="preserve"> Scripture</w:t>
      </w:r>
      <w:r w:rsidR="00072EE1">
        <w:rPr>
          <w:szCs w:val="22"/>
          <w:lang w:val="en-GB"/>
        </w:rPr>
        <w:t>s</w:t>
      </w:r>
      <w:r w:rsidRPr="007C5AF0">
        <w:rPr>
          <w:szCs w:val="22"/>
          <w:lang w:val="en-GB"/>
        </w:rPr>
        <w:t xml:space="preserve">’. </w:t>
      </w:r>
    </w:p>
    <w:p w14:paraId="143DD8FB" w14:textId="77777777" w:rsidR="00A3788A" w:rsidRDefault="00A3788A" w:rsidP="00CA580B">
      <w:pPr>
        <w:rPr>
          <w:szCs w:val="22"/>
          <w:lang w:val="en-GB"/>
        </w:rPr>
      </w:pPr>
    </w:p>
    <w:p w14:paraId="64DD4CAC" w14:textId="77777777" w:rsidR="00072EE1" w:rsidRDefault="00A3788A" w:rsidP="00CA580B">
      <w:pPr>
        <w:rPr>
          <w:szCs w:val="22"/>
          <w:lang w:val="en-GB"/>
        </w:rPr>
      </w:pPr>
      <w:r>
        <w:rPr>
          <w:szCs w:val="22"/>
          <w:lang w:val="en-GB"/>
        </w:rPr>
        <w:t>But it is not quite accurate to say that we must interpret Scripture in accordance with the canon:</w:t>
      </w:r>
      <w:r w:rsidR="00DF156E">
        <w:rPr>
          <w:szCs w:val="22"/>
          <w:lang w:val="en-GB"/>
        </w:rPr>
        <w:t xml:space="preserve"> </w:t>
      </w:r>
      <w:r>
        <w:rPr>
          <w:szCs w:val="22"/>
          <w:lang w:val="en-GB"/>
        </w:rPr>
        <w:t>what, in fact, would that mean?</w:t>
      </w:r>
      <w:r w:rsidR="00DF156E">
        <w:rPr>
          <w:szCs w:val="22"/>
          <w:lang w:val="en-GB"/>
        </w:rPr>
        <w:t xml:space="preserve"> </w:t>
      </w:r>
      <w:r>
        <w:rPr>
          <w:szCs w:val="22"/>
          <w:lang w:val="en-GB"/>
        </w:rPr>
        <w:t xml:space="preserve">Perhaps an analogy would help to explain what </w:t>
      </w:r>
      <w:proofErr w:type="gramStart"/>
      <w:r>
        <w:rPr>
          <w:szCs w:val="22"/>
          <w:lang w:val="en-GB"/>
        </w:rPr>
        <w:t>is the relation between hypothesis, canon, and Scripture</w:t>
      </w:r>
      <w:proofErr w:type="gramEnd"/>
      <w:r w:rsidR="00617611" w:rsidRPr="00A3788A">
        <w:rPr>
          <w:szCs w:val="22"/>
          <w:lang w:val="en-GB"/>
        </w:rPr>
        <w:t>: that of football! If someone has never seen a game of football, they don’t start by reading the rule book, then get on a field with a ball and try to play. Rather, one begins by see</w:t>
      </w:r>
      <w:r w:rsidR="00072EE1">
        <w:rPr>
          <w:szCs w:val="22"/>
          <w:lang w:val="en-GB"/>
        </w:rPr>
        <w:t>ing</w:t>
      </w:r>
      <w:r w:rsidR="00617611" w:rsidRPr="00A3788A">
        <w:rPr>
          <w:szCs w:val="22"/>
          <w:lang w:val="en-GB"/>
        </w:rPr>
        <w:t xml:space="preserve"> a game being played, so gaining a sense of the hypothesis of the </w:t>
      </w:r>
      <w:proofErr w:type="gramStart"/>
      <w:r w:rsidR="00617611" w:rsidRPr="00A3788A">
        <w:rPr>
          <w:szCs w:val="22"/>
          <w:lang w:val="en-GB"/>
        </w:rPr>
        <w:t>game, and</w:t>
      </w:r>
      <w:proofErr w:type="gramEnd"/>
      <w:r w:rsidR="00617611" w:rsidRPr="00A3788A">
        <w:rPr>
          <w:szCs w:val="22"/>
          <w:lang w:val="en-GB"/>
        </w:rPr>
        <w:t xml:space="preserve"> then getting on a field with those who know how to play. When they have gained proficiency in the game, then it is </w:t>
      </w:r>
      <w:r w:rsidR="00617611" w:rsidRPr="00A3788A">
        <w:rPr>
          <w:szCs w:val="22"/>
          <w:lang w:val="en-GB"/>
        </w:rPr>
        <w:lastRenderedPageBreak/>
        <w:t>beneficial to read the rule book (for only now does it make sense</w:t>
      </w:r>
      <w:proofErr w:type="gramStart"/>
      <w:r w:rsidR="00617611" w:rsidRPr="00A3788A">
        <w:rPr>
          <w:szCs w:val="22"/>
          <w:lang w:val="en-GB"/>
        </w:rPr>
        <w:t>), and</w:t>
      </w:r>
      <w:proofErr w:type="gramEnd"/>
      <w:r w:rsidR="00617611" w:rsidRPr="00A3788A">
        <w:rPr>
          <w:szCs w:val="22"/>
          <w:lang w:val="en-GB"/>
        </w:rPr>
        <w:t xml:space="preserve"> so become a more understanding player. From time to time, however, a player will do a new move (e.g. hit the ball with their head): to determine whether the new move is in accord with the hypothesis of the game, the experts are gathered together to make a determination, so resulting in a new</w:t>
      </w:r>
      <w:r w:rsidR="00072EE1">
        <w:rPr>
          <w:szCs w:val="22"/>
          <w:lang w:val="en-GB"/>
        </w:rPr>
        <w:t xml:space="preserve"> item</w:t>
      </w:r>
      <w:r w:rsidR="00617611" w:rsidRPr="00A3788A">
        <w:rPr>
          <w:szCs w:val="22"/>
          <w:lang w:val="en-GB"/>
        </w:rPr>
        <w:t xml:space="preserve"> in the </w:t>
      </w:r>
      <w:r w:rsidR="00072EE1">
        <w:rPr>
          <w:szCs w:val="22"/>
          <w:lang w:val="en-GB"/>
        </w:rPr>
        <w:t xml:space="preserve">rule </w:t>
      </w:r>
      <w:r w:rsidR="00617611" w:rsidRPr="00A3788A">
        <w:rPr>
          <w:szCs w:val="22"/>
          <w:lang w:val="en-GB"/>
        </w:rPr>
        <w:t>book, but, importantly, the hypothesis of the game has not changed.</w:t>
      </w:r>
      <w:r w:rsidR="00DF156E">
        <w:rPr>
          <w:szCs w:val="22"/>
          <w:lang w:val="en-GB"/>
        </w:rPr>
        <w:t xml:space="preserve"> </w:t>
      </w:r>
      <w:r w:rsidR="00617611" w:rsidRPr="00A3788A">
        <w:rPr>
          <w:szCs w:val="22"/>
          <w:lang w:val="en-GB"/>
        </w:rPr>
        <w:t xml:space="preserve">To apply the analogy: our ‘game’ is the encounter with Christ through the reading of Scripture (and breaking bread); the hypothesis is the crucified/risen Christ as proclaimed by the apostles in accordance with the Scripture and encountered in the breaking of the bread. </w:t>
      </w:r>
    </w:p>
    <w:p w14:paraId="7D6A2F0B" w14:textId="77777777" w:rsidR="00072EE1" w:rsidRDefault="00072EE1" w:rsidP="00CA580B">
      <w:pPr>
        <w:rPr>
          <w:szCs w:val="22"/>
          <w:lang w:val="en-GB"/>
        </w:rPr>
      </w:pPr>
    </w:p>
    <w:p w14:paraId="7945AF16" w14:textId="3FD40D3A" w:rsidR="001D3718" w:rsidRDefault="00617611" w:rsidP="009841CE">
      <w:pPr>
        <w:rPr>
          <w:szCs w:val="22"/>
          <w:lang w:val="en-GB"/>
        </w:rPr>
      </w:pPr>
      <w:r w:rsidRPr="00A3788A">
        <w:rPr>
          <w:szCs w:val="22"/>
          <w:lang w:val="en-GB"/>
        </w:rPr>
        <w:t>To learn how to play, one must start by playing with those who know how to play, and only then read the rule book (canon/creed). As such, the canon</w:t>
      </w:r>
      <w:r w:rsidR="00072EE1">
        <w:rPr>
          <w:szCs w:val="22"/>
          <w:lang w:val="en-GB"/>
        </w:rPr>
        <w:t xml:space="preserve"> or </w:t>
      </w:r>
      <w:r w:rsidRPr="00A3788A">
        <w:rPr>
          <w:szCs w:val="22"/>
          <w:lang w:val="en-GB"/>
        </w:rPr>
        <w:t xml:space="preserve">creed doesn’t exist independently of the Scriptures and </w:t>
      </w:r>
      <w:proofErr w:type="gramStart"/>
      <w:r w:rsidRPr="00A3788A">
        <w:rPr>
          <w:szCs w:val="22"/>
          <w:lang w:val="en-GB"/>
        </w:rPr>
        <w:t>liturgy, but</w:t>
      </w:r>
      <w:proofErr w:type="gramEnd"/>
      <w:r w:rsidRPr="00A3788A">
        <w:rPr>
          <w:szCs w:val="22"/>
          <w:lang w:val="en-GB"/>
        </w:rPr>
        <w:t xml:space="preserve"> is rather what enables one to play within the tradition. The hypothesis and canon are there not to exclude</w:t>
      </w:r>
      <w:r w:rsidR="00072EE1">
        <w:rPr>
          <w:szCs w:val="22"/>
          <w:lang w:val="en-GB"/>
        </w:rPr>
        <w:t xml:space="preserve"> or </w:t>
      </w:r>
      <w:r w:rsidRPr="00A3788A">
        <w:rPr>
          <w:szCs w:val="22"/>
          <w:lang w:val="en-GB"/>
        </w:rPr>
        <w:t xml:space="preserve">condemn all else, but to facilitate the play, </w:t>
      </w:r>
      <w:proofErr w:type="gramStart"/>
      <w:r w:rsidR="00072EE1">
        <w:rPr>
          <w:szCs w:val="22"/>
          <w:lang w:val="en-GB"/>
        </w:rPr>
        <w:t>opening up</w:t>
      </w:r>
      <w:proofErr w:type="gramEnd"/>
      <w:r w:rsidR="00072EE1">
        <w:rPr>
          <w:szCs w:val="22"/>
          <w:lang w:val="en-GB"/>
        </w:rPr>
        <w:t xml:space="preserve"> questions based on this hypothesis (as in </w:t>
      </w:r>
      <w:r w:rsidR="00072EE1">
        <w:rPr>
          <w:i/>
          <w:iCs/>
          <w:szCs w:val="22"/>
          <w:lang w:val="en-GB"/>
        </w:rPr>
        <w:t>Haer</w:t>
      </w:r>
      <w:r w:rsidR="00072EE1">
        <w:rPr>
          <w:szCs w:val="22"/>
          <w:lang w:val="en-GB"/>
        </w:rPr>
        <w:t xml:space="preserve">. 1.10.3) rather than another hypothesis, which in turns leads </w:t>
      </w:r>
      <w:r w:rsidRPr="00A3788A">
        <w:rPr>
          <w:szCs w:val="22"/>
          <w:lang w:val="en-GB"/>
        </w:rPr>
        <w:t xml:space="preserve">inquirers </w:t>
      </w:r>
      <w:r w:rsidR="00072EE1">
        <w:rPr>
          <w:szCs w:val="22"/>
          <w:lang w:val="en-GB"/>
        </w:rPr>
        <w:t>deeper in</w:t>
      </w:r>
      <w:r w:rsidRPr="00A3788A">
        <w:rPr>
          <w:szCs w:val="22"/>
          <w:lang w:val="en-GB"/>
        </w:rPr>
        <w:t>to the depths of the wisdom of God as revealed in Christ</w:t>
      </w:r>
      <w:r w:rsidR="00072EE1">
        <w:rPr>
          <w:szCs w:val="22"/>
          <w:lang w:val="en-GB"/>
        </w:rPr>
        <w:t xml:space="preserve">. It is also important to note that these two dimensions of </w:t>
      </w:r>
      <w:r w:rsidR="009841CE">
        <w:rPr>
          <w:szCs w:val="22"/>
          <w:lang w:val="en-GB"/>
        </w:rPr>
        <w:t xml:space="preserve">this ‘game’—the opening of Scriptures in the light of the risen Christ and the breaking of bread—go back to the earliest period, with Paul himself. The only two times that he uses the formula, ‘I delivered to you what I received’, it is expressly </w:t>
      </w:r>
      <w:proofErr w:type="gramStart"/>
      <w:r w:rsidR="009841CE">
        <w:rPr>
          <w:szCs w:val="22"/>
          <w:lang w:val="en-GB"/>
        </w:rPr>
        <w:t>with regard to</w:t>
      </w:r>
      <w:proofErr w:type="gramEnd"/>
      <w:r w:rsidR="009841CE">
        <w:rPr>
          <w:szCs w:val="22"/>
          <w:lang w:val="en-GB"/>
        </w:rPr>
        <w:t xml:space="preserve"> these two elements </w:t>
      </w:r>
      <w:r w:rsidR="00DF156E">
        <w:rPr>
          <w:rFonts w:ascii="Times" w:hAnsi="Times"/>
          <w:color w:val="000000"/>
          <w:szCs w:val="22"/>
        </w:rPr>
        <w:t>(1 Cor 11:23–6</w:t>
      </w:r>
      <w:r w:rsidR="009841CE">
        <w:rPr>
          <w:rFonts w:ascii="Times" w:hAnsi="Times"/>
          <w:color w:val="000000"/>
          <w:szCs w:val="22"/>
        </w:rPr>
        <w:t xml:space="preserve"> and </w:t>
      </w:r>
      <w:r w:rsidR="00DF156E">
        <w:rPr>
          <w:szCs w:val="22"/>
        </w:rPr>
        <w:t>15:3–5)</w:t>
      </w:r>
      <w:r w:rsidR="009841CE">
        <w:rPr>
          <w:szCs w:val="22"/>
        </w:rPr>
        <w:t xml:space="preserve">. The clearest and most concise definition of the canon is perhaps that given by </w:t>
      </w:r>
      <w:r w:rsidR="00A3788A">
        <w:rPr>
          <w:szCs w:val="22"/>
          <w:lang w:val="en-GB"/>
        </w:rPr>
        <w:t>Clement of Alexandria</w:t>
      </w:r>
      <w:r w:rsidR="00A3788A" w:rsidRPr="007C5AF0">
        <w:rPr>
          <w:szCs w:val="22"/>
          <w:lang w:val="en-GB"/>
        </w:rPr>
        <w:t>:</w:t>
      </w:r>
      <w:r w:rsidR="00DF156E">
        <w:rPr>
          <w:szCs w:val="22"/>
          <w:lang w:val="en-GB"/>
        </w:rPr>
        <w:t xml:space="preserve"> ‘</w:t>
      </w:r>
      <w:r w:rsidR="00A3788A" w:rsidRPr="007C5AF0">
        <w:rPr>
          <w:szCs w:val="22"/>
          <w:lang w:val="en-GB"/>
        </w:rPr>
        <w:t>The ecclesiastical canon is the concord and symphony of the law and the prophets in the covenant delivered at the coming of the Lord</w:t>
      </w:r>
      <w:r w:rsidR="00DF156E">
        <w:rPr>
          <w:szCs w:val="22"/>
          <w:lang w:val="en-GB"/>
        </w:rPr>
        <w:t>’</w:t>
      </w:r>
      <w:r w:rsidR="00A3788A" w:rsidRPr="0033451E">
        <w:rPr>
          <w:szCs w:val="22"/>
          <w:lang w:val="en-GB"/>
        </w:rPr>
        <w:t xml:space="preserve"> </w:t>
      </w:r>
      <w:r w:rsidR="00DF156E">
        <w:rPr>
          <w:szCs w:val="22"/>
          <w:lang w:val="en-GB"/>
        </w:rPr>
        <w:t>(</w:t>
      </w:r>
      <w:r w:rsidR="00DF156E">
        <w:rPr>
          <w:i/>
          <w:iCs/>
          <w:szCs w:val="22"/>
          <w:lang w:val="en-GB"/>
        </w:rPr>
        <w:t>Strom</w:t>
      </w:r>
      <w:r w:rsidR="009841CE">
        <w:rPr>
          <w:i/>
          <w:iCs/>
          <w:szCs w:val="22"/>
          <w:lang w:val="en-GB"/>
        </w:rPr>
        <w:t>ata</w:t>
      </w:r>
      <w:r w:rsidR="00DF156E">
        <w:rPr>
          <w:szCs w:val="22"/>
          <w:lang w:val="en-GB"/>
        </w:rPr>
        <w:t xml:space="preserve"> 6.15.125.3). </w:t>
      </w:r>
      <w:r w:rsidR="001D3718" w:rsidRPr="00A3788A">
        <w:rPr>
          <w:szCs w:val="22"/>
          <w:lang w:val="en-GB"/>
        </w:rPr>
        <w:t xml:space="preserve">The ‘canon of truth’ is thus not simply a set of inherited doctrines or building blocks existing apart from Scripture, upon which we build our doctrinal systems, but is, rather, </w:t>
      </w:r>
      <w:r w:rsidR="003F7DA8" w:rsidRPr="00A3788A">
        <w:rPr>
          <w:szCs w:val="22"/>
          <w:lang w:val="en-GB"/>
        </w:rPr>
        <w:t xml:space="preserve">the verbal expression </w:t>
      </w:r>
      <w:r w:rsidR="001D3718" w:rsidRPr="00A3788A">
        <w:rPr>
          <w:szCs w:val="22"/>
          <w:lang w:val="en-GB"/>
        </w:rPr>
        <w:t xml:space="preserve">of the hypothesis of the Christian faith in a particular situation, outlining the presupposition needed for seeing in Scripture the image of the king, the Christ revealed in and through the Gospel, the apostolic preaching ‘according to Scripture’. Moreover, </w:t>
      </w:r>
      <w:r w:rsidR="009841CE">
        <w:rPr>
          <w:szCs w:val="22"/>
          <w:lang w:val="en-GB"/>
        </w:rPr>
        <w:t xml:space="preserve">to repeat the point, </w:t>
      </w:r>
      <w:r w:rsidR="001D3718" w:rsidRPr="00A3788A">
        <w:rPr>
          <w:szCs w:val="22"/>
          <w:lang w:val="en-GB"/>
        </w:rPr>
        <w:t>the canon is not there to limit</w:t>
      </w:r>
      <w:r w:rsidR="00BB1A90" w:rsidRPr="00A3788A">
        <w:rPr>
          <w:szCs w:val="22"/>
          <w:lang w:val="en-GB"/>
        </w:rPr>
        <w:t xml:space="preserve"> or</w:t>
      </w:r>
      <w:r w:rsidR="001D3718" w:rsidRPr="00A3788A">
        <w:rPr>
          <w:szCs w:val="22"/>
          <w:lang w:val="en-GB"/>
        </w:rPr>
        <w:t xml:space="preserve"> curtail thought or reflection</w:t>
      </w:r>
      <w:r w:rsidR="003F7DA8" w:rsidRPr="00A3788A">
        <w:rPr>
          <w:szCs w:val="22"/>
          <w:lang w:val="en-GB"/>
        </w:rPr>
        <w:t xml:space="preserve">; </w:t>
      </w:r>
      <w:r w:rsidR="001D3718" w:rsidRPr="00A3788A">
        <w:rPr>
          <w:szCs w:val="22"/>
          <w:lang w:val="en-GB"/>
        </w:rPr>
        <w:t>it is</w:t>
      </w:r>
      <w:r w:rsidR="003F7DA8" w:rsidRPr="00A3788A">
        <w:rPr>
          <w:szCs w:val="22"/>
          <w:lang w:val="en-GB"/>
        </w:rPr>
        <w:t>, rather,</w:t>
      </w:r>
      <w:r w:rsidR="001D3718" w:rsidRPr="00A3788A">
        <w:rPr>
          <w:szCs w:val="22"/>
          <w:lang w:val="en-GB"/>
        </w:rPr>
        <w:t xml:space="preserve"> that which makes thought possible</w:t>
      </w:r>
      <w:r w:rsidR="001D3718" w:rsidRPr="00A3788A">
        <w:rPr>
          <w:szCs w:val="22"/>
        </w:rPr>
        <w:t>: the canon</w:t>
      </w:r>
      <w:r w:rsidR="009841CE">
        <w:rPr>
          <w:szCs w:val="22"/>
        </w:rPr>
        <w:t xml:space="preserve"> or </w:t>
      </w:r>
      <w:r w:rsidR="001D3718" w:rsidRPr="00A3788A">
        <w:rPr>
          <w:szCs w:val="22"/>
        </w:rPr>
        <w:t xml:space="preserve">creed does not set boundaries but establishes the principles upon which we can think. </w:t>
      </w:r>
      <w:r w:rsidR="001D3718" w:rsidRPr="00A3788A">
        <w:rPr>
          <w:szCs w:val="22"/>
          <w:lang w:val="en-GB"/>
        </w:rPr>
        <w:t xml:space="preserve">And as such ‘orthodoxy’ is not simply </w:t>
      </w:r>
      <w:r w:rsidR="00BB1A90" w:rsidRPr="00A3788A">
        <w:rPr>
          <w:szCs w:val="22"/>
          <w:lang w:val="en-GB"/>
        </w:rPr>
        <w:t>the</w:t>
      </w:r>
      <w:r w:rsidR="001D3718" w:rsidRPr="00A3788A">
        <w:rPr>
          <w:szCs w:val="22"/>
          <w:lang w:val="en-GB"/>
        </w:rPr>
        <w:t xml:space="preserve"> preservation of a set of teachings (and the condemnation of others), but rather the continuing, and deepening journey into, the mystery of Christ.</w:t>
      </w:r>
    </w:p>
    <w:p w14:paraId="0B258DD1" w14:textId="77777777" w:rsidR="00617611" w:rsidRPr="00A3788A" w:rsidRDefault="00617611" w:rsidP="00CA580B">
      <w:pPr>
        <w:rPr>
          <w:szCs w:val="22"/>
          <w:lang w:val="en-GB"/>
        </w:rPr>
      </w:pPr>
    </w:p>
    <w:p w14:paraId="3977E0F6" w14:textId="10263580" w:rsidR="007D61EC" w:rsidRPr="00A3788A" w:rsidRDefault="007D61EC" w:rsidP="00CA580B">
      <w:pPr>
        <w:rPr>
          <w:b/>
          <w:bCs/>
          <w:szCs w:val="22"/>
        </w:rPr>
      </w:pPr>
      <w:r w:rsidRPr="00A3788A">
        <w:rPr>
          <w:b/>
          <w:bCs/>
          <w:szCs w:val="22"/>
        </w:rPr>
        <w:t>What the creed contains</w:t>
      </w:r>
    </w:p>
    <w:p w14:paraId="454BEB4E" w14:textId="3AE7C19E" w:rsidR="0023565B" w:rsidRDefault="001D3718" w:rsidP="00CA580B">
      <w:pPr>
        <w:rPr>
          <w:szCs w:val="22"/>
        </w:rPr>
      </w:pPr>
      <w:r w:rsidRPr="00A3788A">
        <w:rPr>
          <w:szCs w:val="22"/>
        </w:rPr>
        <w:t>So, what does the Creed contain? To be provocative, it does not</w:t>
      </w:r>
      <w:r w:rsidR="0023565B" w:rsidRPr="00A3788A">
        <w:rPr>
          <w:szCs w:val="22"/>
        </w:rPr>
        <w:t>, as we often think today,</w:t>
      </w:r>
      <w:r w:rsidRPr="00A3788A">
        <w:rPr>
          <w:szCs w:val="22"/>
        </w:rPr>
        <w:t xml:space="preserve"> promulgate a trinitarian theology in which the one God is three persons! </w:t>
      </w:r>
      <w:r w:rsidR="00D524CF" w:rsidRPr="00A3788A">
        <w:rPr>
          <w:szCs w:val="22"/>
        </w:rPr>
        <w:t xml:space="preserve">This was strikingly driven home to me when a few years ago my </w:t>
      </w:r>
      <w:r w:rsidR="00D524CF" w:rsidRPr="00A3788A">
        <w:rPr>
          <w:rFonts w:cs="Times New Roman"/>
          <w:szCs w:val="22"/>
        </w:rPr>
        <w:t xml:space="preserve">firstborn son reported back a conversation that he had had with </w:t>
      </w:r>
      <w:r w:rsidR="00BB1A90" w:rsidRPr="00A3788A">
        <w:rPr>
          <w:rFonts w:cs="Times New Roman"/>
          <w:szCs w:val="22"/>
        </w:rPr>
        <w:t>the</w:t>
      </w:r>
      <w:r w:rsidR="00D524CF" w:rsidRPr="00A3788A">
        <w:rPr>
          <w:rFonts w:cs="Times New Roman"/>
          <w:szCs w:val="22"/>
        </w:rPr>
        <w:t xml:space="preserve"> religious instructor in his Jesuit high school. The instructor began the class discussion by saying that the subject for the day was why we say that the one God is a Trinity. My son protested: ‘I don’t’. Rather perplexed, the instructor asked him what he mean</w:t>
      </w:r>
      <w:r w:rsidR="00BB1A90" w:rsidRPr="00A3788A">
        <w:rPr>
          <w:rFonts w:cs="Times New Roman"/>
          <w:szCs w:val="22"/>
        </w:rPr>
        <w:t>t</w:t>
      </w:r>
      <w:r w:rsidR="00D524CF" w:rsidRPr="00A3788A">
        <w:rPr>
          <w:rFonts w:cs="Times New Roman"/>
          <w:szCs w:val="22"/>
        </w:rPr>
        <w:t xml:space="preserve">. To which my son replied (or at least so he says): ‘Well, I don’t know about you, sir, but I follow the Nicene Creed which </w:t>
      </w:r>
      <w:proofErr w:type="gramStart"/>
      <w:r w:rsidR="00D524CF" w:rsidRPr="00A3788A">
        <w:rPr>
          <w:rFonts w:cs="Times New Roman"/>
          <w:szCs w:val="22"/>
        </w:rPr>
        <w:t>says</w:t>
      </w:r>
      <w:proofErr w:type="gramEnd"/>
      <w:r w:rsidR="00D524CF" w:rsidRPr="00A3788A">
        <w:rPr>
          <w:rFonts w:cs="Times New Roman"/>
          <w:szCs w:val="22"/>
        </w:rPr>
        <w:t xml:space="preserve"> “I believe in One God Father Almighty and one Lord Jesus Christ the Son of God”’. </w:t>
      </w:r>
      <w:r w:rsidR="00BB1A90" w:rsidRPr="00A3788A">
        <w:rPr>
          <w:rFonts w:cs="Times New Roman"/>
          <w:szCs w:val="22"/>
        </w:rPr>
        <w:t>Although repeated frequently, we often don’t listen to the words of the Creed! If, indeed, the one God were the Trinity, it would no longer be possible to confess that Jesus Christ is the Son of God!</w:t>
      </w:r>
      <w:r w:rsidR="00D524CF" w:rsidRPr="00A3788A">
        <w:rPr>
          <w:rFonts w:cs="Times New Roman"/>
          <w:szCs w:val="22"/>
        </w:rPr>
        <w:t xml:space="preserve"> </w:t>
      </w:r>
      <w:r w:rsidR="0023565B" w:rsidRPr="00A3788A">
        <w:rPr>
          <w:szCs w:val="22"/>
        </w:rPr>
        <w:t xml:space="preserve">One God … </w:t>
      </w:r>
      <w:r w:rsidR="006925D9" w:rsidRPr="00A3788A">
        <w:rPr>
          <w:szCs w:val="22"/>
        </w:rPr>
        <w:t xml:space="preserve">and </w:t>
      </w:r>
      <w:r w:rsidR="0023565B" w:rsidRPr="00A3788A">
        <w:rPr>
          <w:szCs w:val="22"/>
        </w:rPr>
        <w:t xml:space="preserve">one Lord Jesus Christ, who as the Son of God is whatever it is to be God – true God of true God, of the same </w:t>
      </w:r>
      <w:proofErr w:type="spellStart"/>
      <w:r w:rsidR="0023565B" w:rsidRPr="00A3788A">
        <w:rPr>
          <w:i/>
          <w:iCs/>
          <w:szCs w:val="22"/>
        </w:rPr>
        <w:t>ousia</w:t>
      </w:r>
      <w:proofErr w:type="spellEnd"/>
      <w:r w:rsidR="0023565B" w:rsidRPr="00A3788A">
        <w:rPr>
          <w:szCs w:val="22"/>
        </w:rPr>
        <w:t xml:space="preserve"> as the Father</w:t>
      </w:r>
      <w:r w:rsidR="003F7DA8" w:rsidRPr="00A3788A">
        <w:rPr>
          <w:szCs w:val="22"/>
        </w:rPr>
        <w:t xml:space="preserve">—he is </w:t>
      </w:r>
      <w:r w:rsidR="003F7DA8" w:rsidRPr="00A3788A">
        <w:rPr>
          <w:i/>
          <w:iCs/>
          <w:szCs w:val="22"/>
        </w:rPr>
        <w:t>what</w:t>
      </w:r>
      <w:r w:rsidR="003F7DA8" w:rsidRPr="00A3788A">
        <w:rPr>
          <w:szCs w:val="22"/>
        </w:rPr>
        <w:t xml:space="preserve"> it is to be God, yet other than the one of whom he is the Son</w:t>
      </w:r>
      <w:r w:rsidR="0023565B" w:rsidRPr="00A3788A">
        <w:rPr>
          <w:szCs w:val="22"/>
        </w:rPr>
        <w:t>. And because he is the Son of God, for this reason the one God is Father; and as it is through his Son and the Spirit that God creates, the next term identifying God is almighty then maker/creator</w:t>
      </w:r>
      <w:r w:rsidR="006925D9" w:rsidRPr="00A3788A">
        <w:rPr>
          <w:szCs w:val="22"/>
        </w:rPr>
        <w:t>. The opening clause of the creed—</w:t>
      </w:r>
      <w:r w:rsidR="0023565B" w:rsidRPr="00A3788A">
        <w:rPr>
          <w:szCs w:val="22"/>
        </w:rPr>
        <w:t xml:space="preserve">One God Father Almighty Maker of heaven and earth—is </w:t>
      </w:r>
      <w:r w:rsidR="006925D9" w:rsidRPr="00A3788A">
        <w:rPr>
          <w:szCs w:val="22"/>
        </w:rPr>
        <w:t xml:space="preserve">carefully coordinated series of descriptors, </w:t>
      </w:r>
      <w:r w:rsidR="0023565B" w:rsidRPr="00A3788A">
        <w:rPr>
          <w:szCs w:val="22"/>
        </w:rPr>
        <w:t>based upon the way in which Scripture speaks.</w:t>
      </w:r>
    </w:p>
    <w:p w14:paraId="3CEAF438" w14:textId="77777777" w:rsidR="00CA580B" w:rsidRPr="00A3788A" w:rsidRDefault="00CA580B" w:rsidP="00CA580B">
      <w:pPr>
        <w:rPr>
          <w:szCs w:val="22"/>
        </w:rPr>
      </w:pPr>
    </w:p>
    <w:p w14:paraId="34734153" w14:textId="69319815" w:rsidR="00D524CF" w:rsidRDefault="0023565B" w:rsidP="00CA580B">
      <w:pPr>
        <w:rPr>
          <w:rFonts w:cs="Times New Roman"/>
          <w:szCs w:val="22"/>
        </w:rPr>
      </w:pPr>
      <w:r w:rsidRPr="00A3788A">
        <w:rPr>
          <w:szCs w:val="22"/>
        </w:rPr>
        <w:t xml:space="preserve">That at issue in the controversy leading to Nicaea was the way in which Scripture is read is </w:t>
      </w:r>
      <w:r w:rsidR="006925D9" w:rsidRPr="00A3788A">
        <w:rPr>
          <w:szCs w:val="22"/>
        </w:rPr>
        <w:t xml:space="preserve">indicated by </w:t>
      </w:r>
      <w:r w:rsidRPr="00A3788A">
        <w:rPr>
          <w:rFonts w:cs="Times New Roman"/>
          <w:szCs w:val="22"/>
        </w:rPr>
        <w:t>Constantine</w:t>
      </w:r>
      <w:r w:rsidR="006925D9" w:rsidRPr="00A3788A">
        <w:rPr>
          <w:rFonts w:cs="Times New Roman"/>
          <w:szCs w:val="22"/>
        </w:rPr>
        <w:t>’s</w:t>
      </w:r>
      <w:r w:rsidRPr="00A3788A">
        <w:rPr>
          <w:rFonts w:cs="Times New Roman"/>
          <w:szCs w:val="22"/>
        </w:rPr>
        <w:t xml:space="preserve"> Letter to Arius and Alexander,</w:t>
      </w:r>
      <w:r w:rsidR="006925D9" w:rsidRPr="00A3788A">
        <w:rPr>
          <w:rFonts w:cs="Times New Roman"/>
          <w:szCs w:val="22"/>
        </w:rPr>
        <w:t xml:space="preserve"> in which he mentions</w:t>
      </w:r>
      <w:r w:rsidRPr="00A3788A">
        <w:rPr>
          <w:rFonts w:cs="Times New Roman"/>
          <w:szCs w:val="22"/>
        </w:rPr>
        <w:t xml:space="preserve"> how Alexander had demanded of all the presbyters in the city of Alexandria to provide him with an interpretation of a passage from </w:t>
      </w:r>
      <w:r w:rsidRPr="00A3788A">
        <w:rPr>
          <w:rFonts w:cs="Times New Roman"/>
          <w:szCs w:val="22"/>
        </w:rPr>
        <w:lastRenderedPageBreak/>
        <w:t>the Law.</w:t>
      </w:r>
      <w:r w:rsidR="000859F6">
        <w:rPr>
          <w:rStyle w:val="FootnoteReference"/>
          <w:rFonts w:cs="Times New Roman"/>
          <w:szCs w:val="22"/>
        </w:rPr>
        <w:footnoteReference w:id="13"/>
      </w:r>
      <w:r w:rsidRPr="00A3788A">
        <w:rPr>
          <w:rFonts w:cs="Times New Roman"/>
          <w:szCs w:val="22"/>
        </w:rPr>
        <w:t xml:space="preserve"> Almost certainly the passage in question was Proverbs 8:22–25, where Wisdom (</w:t>
      </w:r>
      <w:r w:rsidR="006925D9" w:rsidRPr="00A3788A">
        <w:rPr>
          <w:rFonts w:cs="Times New Roman"/>
          <w:szCs w:val="22"/>
        </w:rPr>
        <w:t>i.e.</w:t>
      </w:r>
      <w:r w:rsidRPr="00A3788A">
        <w:rPr>
          <w:rFonts w:cs="Times New Roman"/>
          <w:szCs w:val="22"/>
        </w:rPr>
        <w:t xml:space="preserve"> Christ) says of herself: ‘The Lord created me the beginning of his ways</w:t>
      </w:r>
      <w:r w:rsidR="00D524CF" w:rsidRPr="00A3788A">
        <w:rPr>
          <w:rFonts w:cs="Times New Roman"/>
          <w:szCs w:val="22"/>
        </w:rPr>
        <w:t xml:space="preserve"> for his works</w:t>
      </w:r>
      <w:r w:rsidRPr="00A3788A">
        <w:rPr>
          <w:rFonts w:cs="Times New Roman"/>
          <w:szCs w:val="22"/>
        </w:rPr>
        <w:t xml:space="preserve">’ and then a few verses later, ‘before the hills he begets me’. In brief, Arius took </w:t>
      </w:r>
      <w:r w:rsidR="00D524CF" w:rsidRPr="00A3788A">
        <w:rPr>
          <w:rFonts w:cs="Times New Roman"/>
          <w:szCs w:val="22"/>
        </w:rPr>
        <w:t xml:space="preserve">these two verbs—create and beget—and applied them univocally to the one Christ, so that, Christ ends up being ‘created’ (‘but not as one of the creatures’ </w:t>
      </w:r>
      <w:r w:rsidR="003F7DA8" w:rsidRPr="00A3788A">
        <w:rPr>
          <w:rFonts w:cs="Times New Roman"/>
          <w:szCs w:val="22"/>
        </w:rPr>
        <w:t>Arius</w:t>
      </w:r>
      <w:r w:rsidR="00D524CF" w:rsidRPr="00A3788A">
        <w:rPr>
          <w:rFonts w:cs="Times New Roman"/>
          <w:szCs w:val="22"/>
        </w:rPr>
        <w:t xml:space="preserve"> adds) and ‘begotten’ (but not as one of the other things begotten), and so </w:t>
      </w:r>
      <w:r w:rsidR="003F7DA8" w:rsidRPr="00A3788A">
        <w:rPr>
          <w:rFonts w:cs="Times New Roman"/>
          <w:szCs w:val="22"/>
        </w:rPr>
        <w:t xml:space="preserve">Christ ends up </w:t>
      </w:r>
      <w:r w:rsidR="00D524CF" w:rsidRPr="00A3788A">
        <w:rPr>
          <w:rFonts w:cs="Times New Roman"/>
          <w:szCs w:val="22"/>
        </w:rPr>
        <w:t xml:space="preserve">somewhere in between the one true God and creation, an intermediary </w:t>
      </w:r>
      <w:r w:rsidR="003F7DA8" w:rsidRPr="00A3788A">
        <w:rPr>
          <w:rFonts w:cs="Times New Roman"/>
          <w:szCs w:val="22"/>
        </w:rPr>
        <w:t xml:space="preserve">figure </w:t>
      </w:r>
      <w:r w:rsidR="00D524CF" w:rsidRPr="00A3788A">
        <w:rPr>
          <w:rFonts w:cs="Times New Roman"/>
          <w:szCs w:val="22"/>
        </w:rPr>
        <w:t>somewhere in between. Athanasius (following Origen and the earlier tradition), takes these two verses as applied to Christ as human and as divine</w:t>
      </w:r>
      <w:r w:rsidR="006925D9" w:rsidRPr="00A3788A">
        <w:rPr>
          <w:rFonts w:cs="Times New Roman"/>
          <w:szCs w:val="22"/>
        </w:rPr>
        <w:t xml:space="preserve"> distinctly rather than univocally</w:t>
      </w:r>
      <w:r w:rsidR="00D524CF" w:rsidRPr="00A3788A">
        <w:rPr>
          <w:rFonts w:cs="Times New Roman"/>
          <w:szCs w:val="22"/>
        </w:rPr>
        <w:t>: as human, he is created, the beginning of the ways of God, with the purpose clause ‘for his works; whereas as divine he</w:t>
      </w:r>
      <w:r w:rsidR="006925D9" w:rsidRPr="00A3788A">
        <w:rPr>
          <w:rFonts w:cs="Times New Roman"/>
          <w:szCs w:val="22"/>
        </w:rPr>
        <w:t xml:space="preserve"> (the same one)</w:t>
      </w:r>
      <w:r w:rsidR="00D524CF" w:rsidRPr="00A3788A">
        <w:rPr>
          <w:rFonts w:cs="Times New Roman"/>
          <w:szCs w:val="22"/>
        </w:rPr>
        <w:t xml:space="preserve"> is begotten (in the odd present tense, ‘</w:t>
      </w:r>
      <w:r w:rsidR="00D524CF" w:rsidRPr="00A3788A">
        <w:rPr>
          <w:rFonts w:cs="Times New Roman"/>
          <w:i/>
          <w:iCs/>
          <w:szCs w:val="22"/>
        </w:rPr>
        <w:t>before</w:t>
      </w:r>
      <w:r w:rsidR="00D524CF" w:rsidRPr="00A3788A">
        <w:rPr>
          <w:rFonts w:cs="Times New Roman"/>
          <w:szCs w:val="22"/>
        </w:rPr>
        <w:t xml:space="preserve"> the hills he </w:t>
      </w:r>
      <w:r w:rsidR="00D524CF" w:rsidRPr="00A3788A">
        <w:rPr>
          <w:rFonts w:cs="Times New Roman"/>
          <w:i/>
          <w:iCs/>
          <w:szCs w:val="22"/>
        </w:rPr>
        <w:t>begets</w:t>
      </w:r>
      <w:r w:rsidR="00D524CF" w:rsidRPr="00A3788A">
        <w:rPr>
          <w:rFonts w:cs="Times New Roman"/>
          <w:szCs w:val="22"/>
        </w:rPr>
        <w:t xml:space="preserve"> me’</w:t>
      </w:r>
      <w:r w:rsidR="003F7DA8" w:rsidRPr="00A3788A">
        <w:rPr>
          <w:rFonts w:cs="Times New Roman"/>
          <w:szCs w:val="22"/>
        </w:rPr>
        <w:t>—the eternal begetting of the Son is not an act in the past</w:t>
      </w:r>
      <w:r w:rsidR="00D524CF" w:rsidRPr="00A3788A">
        <w:rPr>
          <w:rFonts w:cs="Times New Roman"/>
          <w:szCs w:val="22"/>
        </w:rPr>
        <w:t xml:space="preserve">), </w:t>
      </w:r>
      <w:r w:rsidR="003F7DA8" w:rsidRPr="00A3788A">
        <w:rPr>
          <w:rFonts w:cs="Times New Roman"/>
          <w:szCs w:val="22"/>
        </w:rPr>
        <w:t xml:space="preserve">and this affirmation has </w:t>
      </w:r>
      <w:r w:rsidR="00D524CF" w:rsidRPr="00A3788A">
        <w:rPr>
          <w:rFonts w:cs="Times New Roman"/>
          <w:szCs w:val="22"/>
        </w:rPr>
        <w:t>no purpose clause. It is the pattern of words provided by these verse</w:t>
      </w:r>
      <w:r w:rsidR="006925D9" w:rsidRPr="00A3788A">
        <w:rPr>
          <w:rFonts w:cs="Times New Roman"/>
          <w:szCs w:val="22"/>
        </w:rPr>
        <w:t>s</w:t>
      </w:r>
      <w:r w:rsidR="00D524CF" w:rsidRPr="00A3788A">
        <w:rPr>
          <w:rFonts w:cs="Times New Roman"/>
          <w:szCs w:val="22"/>
        </w:rPr>
        <w:t xml:space="preserve"> fr</w:t>
      </w:r>
      <w:r w:rsidR="006925D9" w:rsidRPr="00A3788A">
        <w:rPr>
          <w:rFonts w:cs="Times New Roman"/>
          <w:szCs w:val="22"/>
        </w:rPr>
        <w:t>om</w:t>
      </w:r>
      <w:r w:rsidR="00D524CF" w:rsidRPr="00A3788A">
        <w:rPr>
          <w:rFonts w:cs="Times New Roman"/>
          <w:szCs w:val="22"/>
        </w:rPr>
        <w:t xml:space="preserve"> Proverbs that structures theological grammar thereafter: the one Lord Jesus Christ </w:t>
      </w:r>
      <w:r w:rsidR="00D524CF" w:rsidRPr="00A3788A">
        <w:rPr>
          <w:rFonts w:cs="Times New Roman"/>
          <w:i/>
          <w:iCs/>
          <w:szCs w:val="22"/>
        </w:rPr>
        <w:t>is</w:t>
      </w:r>
      <w:r w:rsidR="00D524CF" w:rsidRPr="00A3788A">
        <w:rPr>
          <w:rFonts w:cs="Times New Roman"/>
          <w:szCs w:val="22"/>
        </w:rPr>
        <w:t xml:space="preserve"> the Son of God </w:t>
      </w:r>
      <w:r w:rsidR="00D524CF" w:rsidRPr="00A3788A">
        <w:rPr>
          <w:rFonts w:cs="Times New Roman"/>
          <w:i/>
          <w:iCs/>
          <w:szCs w:val="22"/>
        </w:rPr>
        <w:t>become</w:t>
      </w:r>
      <w:r w:rsidR="00D524CF" w:rsidRPr="00A3788A">
        <w:rPr>
          <w:rFonts w:cs="Times New Roman"/>
          <w:szCs w:val="22"/>
        </w:rPr>
        <w:t xml:space="preserve"> the Son of man for our salvation. And as such, the one Christ is the mediator between God and humans not by being somewhere in between, but by being both, in one. This controversy continues through the following centuries when others, after the Council of Constantinople, begin taking the divine and human aspects of Christ as being two separate subjects; but that is another story</w:t>
      </w:r>
      <w:r w:rsidR="006925D9" w:rsidRPr="00A3788A">
        <w:rPr>
          <w:rFonts w:cs="Times New Roman"/>
          <w:szCs w:val="22"/>
        </w:rPr>
        <w:t>—it is a continuing Christological and exegetical debate (not the development of doctrine).</w:t>
      </w:r>
    </w:p>
    <w:p w14:paraId="70748D0B" w14:textId="77777777" w:rsidR="00CA580B" w:rsidRPr="00A3788A" w:rsidRDefault="00CA580B" w:rsidP="00CA580B">
      <w:pPr>
        <w:rPr>
          <w:rFonts w:cs="Times New Roman"/>
          <w:szCs w:val="22"/>
        </w:rPr>
      </w:pPr>
    </w:p>
    <w:p w14:paraId="5C967404" w14:textId="2A1E4E6C" w:rsidR="00352E9F" w:rsidRPr="00A3788A" w:rsidRDefault="00D524CF" w:rsidP="00CA580B">
      <w:pPr>
        <w:rPr>
          <w:rFonts w:cs="Times New Roman"/>
          <w:szCs w:val="22"/>
        </w:rPr>
      </w:pPr>
      <w:r w:rsidRPr="00A3788A">
        <w:rPr>
          <w:rFonts w:cs="Times New Roman"/>
          <w:szCs w:val="22"/>
        </w:rPr>
        <w:t xml:space="preserve">The significance of this focus upon how the one Lord is both true God of true God, and yet human as we are, is that it means that </w:t>
      </w:r>
      <w:r w:rsidR="00352E9F" w:rsidRPr="00A3788A">
        <w:rPr>
          <w:rFonts w:cs="Times New Roman"/>
          <w:szCs w:val="22"/>
        </w:rPr>
        <w:t xml:space="preserve">Christ does not show us </w:t>
      </w:r>
      <w:r w:rsidR="00352E9F" w:rsidRPr="00A3788A">
        <w:rPr>
          <w:rFonts w:cs="Times New Roman"/>
          <w:i/>
          <w:iCs/>
          <w:szCs w:val="22"/>
        </w:rPr>
        <w:t>what</w:t>
      </w:r>
      <w:r w:rsidR="00352E9F" w:rsidRPr="00A3788A">
        <w:rPr>
          <w:rFonts w:cs="Times New Roman"/>
          <w:szCs w:val="22"/>
        </w:rPr>
        <w:t xml:space="preserve"> it is to be God in any other way than through his human nature and existence: </w:t>
      </w:r>
      <w:r w:rsidR="00352E9F" w:rsidRPr="00A3788A">
        <w:rPr>
          <w:szCs w:val="22"/>
        </w:rPr>
        <w:t>by his death as human (which is in fact the only thing that human beings have in common), trampling down death by death, he shows us what it is to be God, for it is only after his Passion, with the Scriptures now opened, that the disciples and apostles finally know who he is, and so looking back, they can now see his whole life in this way: by his service, for instance in washing the feet of his disciples, he shows us what Lordship is</w:t>
      </w:r>
      <w:r w:rsidR="006925D9" w:rsidRPr="00A3788A">
        <w:rPr>
          <w:szCs w:val="22"/>
        </w:rPr>
        <w:t>—strength in weakness.</w:t>
      </w:r>
    </w:p>
    <w:p w14:paraId="082B85FB" w14:textId="08F11A54" w:rsidR="006925D9" w:rsidRDefault="00352E9F" w:rsidP="00CA580B">
      <w:pPr>
        <w:rPr>
          <w:szCs w:val="22"/>
        </w:rPr>
      </w:pPr>
      <w:r w:rsidRPr="00A3788A">
        <w:rPr>
          <w:rFonts w:cs="Times New Roman"/>
          <w:szCs w:val="22"/>
        </w:rPr>
        <w:t>All this involves, as David Bentley Hart has ar</w:t>
      </w:r>
      <w:r w:rsidR="003F7DA8" w:rsidRPr="00A3788A">
        <w:rPr>
          <w:rFonts w:cs="Times New Roman"/>
          <w:szCs w:val="22"/>
        </w:rPr>
        <w:t>g</w:t>
      </w:r>
      <w:r w:rsidRPr="00A3788A">
        <w:rPr>
          <w:rFonts w:cs="Times New Roman"/>
          <w:szCs w:val="22"/>
        </w:rPr>
        <w:t>ued, a metaphysical sea-change.</w:t>
      </w:r>
      <w:r w:rsidR="009841CE">
        <w:rPr>
          <w:rStyle w:val="FootnoteReference"/>
          <w:rFonts w:cs="Times New Roman"/>
          <w:szCs w:val="22"/>
        </w:rPr>
        <w:footnoteReference w:id="14"/>
      </w:r>
      <w:r w:rsidRPr="00A3788A">
        <w:rPr>
          <w:rFonts w:cs="Times New Roman"/>
          <w:szCs w:val="22"/>
        </w:rPr>
        <w:t xml:space="preserve"> </w:t>
      </w:r>
      <w:r w:rsidR="00116FAB" w:rsidRPr="00A3788A">
        <w:rPr>
          <w:szCs w:val="22"/>
        </w:rPr>
        <w:t xml:space="preserve">The Scriptures of Israel and the writings of Second Temple Judaism, as with the ancient world more generally, knew of a number of ‘gods’: ‘God stood in the congregation of gods’ (Ps 81:1 LXX)—we might demarcate the first singular God from the latter plural by capitalization, but this was a typographical convention not yet invented! The heavenly realm above which God presides, in light inaccessible, spatially distinct from the earth we inhabit, was populated by countless powers, principalities, and divinities. Within this world, the one God held an exalted position: ‘You are the Lord Most High over all the earth; you were exalted far above the gods’ (Ps 97:9). Compared to the lesser divinities, the divinity of the Most High, as Hart puts, follows the rule of </w:t>
      </w:r>
      <w:r w:rsidR="00116FAB" w:rsidRPr="00A3788A">
        <w:rPr>
          <w:i/>
          <w:iCs/>
          <w:szCs w:val="22"/>
        </w:rPr>
        <w:t xml:space="preserve">primum in </w:t>
      </w:r>
      <w:proofErr w:type="spellStart"/>
      <w:r w:rsidR="00116FAB" w:rsidRPr="00A3788A">
        <w:rPr>
          <w:i/>
          <w:iCs/>
          <w:szCs w:val="22"/>
        </w:rPr>
        <w:t>aliquo</w:t>
      </w:r>
      <w:proofErr w:type="spellEnd"/>
      <w:r w:rsidR="00116FAB" w:rsidRPr="00A3788A">
        <w:rPr>
          <w:i/>
          <w:iCs/>
          <w:szCs w:val="22"/>
        </w:rPr>
        <w:t xml:space="preserve"> </w:t>
      </w:r>
      <w:proofErr w:type="spellStart"/>
      <w:r w:rsidR="00116FAB" w:rsidRPr="00A3788A">
        <w:rPr>
          <w:i/>
          <w:iCs/>
          <w:szCs w:val="22"/>
        </w:rPr>
        <w:t>genere</w:t>
      </w:r>
      <w:proofErr w:type="spellEnd"/>
      <w:r w:rsidR="00116FAB" w:rsidRPr="00A3788A">
        <w:rPr>
          <w:szCs w:val="22"/>
        </w:rPr>
        <w:t xml:space="preserve">: ‘the principle that, in every genus, there is one supreme instance that possesses </w:t>
      </w:r>
      <w:r w:rsidR="00116FAB" w:rsidRPr="00A3788A">
        <w:rPr>
          <w:i/>
          <w:iCs/>
          <w:szCs w:val="22"/>
        </w:rPr>
        <w:t>per se</w:t>
      </w:r>
      <w:r w:rsidR="00116FAB" w:rsidRPr="00A3788A">
        <w:rPr>
          <w:szCs w:val="22"/>
        </w:rPr>
        <w:t xml:space="preserve"> the true essence of that genus, and that therefore is the prime source and cause of that essence in all its derivative instances’</w:t>
      </w:r>
      <w:r w:rsidR="009841CE">
        <w:rPr>
          <w:szCs w:val="22"/>
        </w:rPr>
        <w:t>.</w:t>
      </w:r>
      <w:r w:rsidR="009841CE">
        <w:rPr>
          <w:rStyle w:val="FootnoteReference"/>
          <w:szCs w:val="22"/>
        </w:rPr>
        <w:footnoteReference w:id="15"/>
      </w:r>
      <w:r w:rsidR="00116FAB" w:rsidRPr="00A3788A">
        <w:rPr>
          <w:szCs w:val="22"/>
        </w:rPr>
        <w:t xml:space="preserve"> For Arius, and others, the Word might well be the highest of all these heavenly powers, but not God in the way that the truly transcendent One is the true God. However, with Nicaea’s affirmation that Jesus Christ is ‘true God of true God, begotten not made, consubstantial with the Father’, any attempt to think of the divinity of Jesus Christ as subordinate to the one true God became impossible. And, in turn, the created order could no longer be thought of as the result of a process of derivation, but as ontologically distinct from God</w:t>
      </w:r>
      <w:r w:rsidR="00AB650D" w:rsidRPr="00A3788A">
        <w:rPr>
          <w:szCs w:val="22"/>
        </w:rPr>
        <w:t xml:space="preserve">. </w:t>
      </w:r>
      <w:r w:rsidR="006925D9" w:rsidRPr="00A3788A">
        <w:rPr>
          <w:szCs w:val="22"/>
        </w:rPr>
        <w:t xml:space="preserve">And this, moreover, </w:t>
      </w:r>
      <w:r w:rsidR="003F7DA8" w:rsidRPr="00A3788A">
        <w:rPr>
          <w:szCs w:val="22"/>
        </w:rPr>
        <w:t xml:space="preserve">entails that </w:t>
      </w:r>
      <w:r w:rsidR="00AB650D" w:rsidRPr="00A3788A">
        <w:rPr>
          <w:szCs w:val="22"/>
        </w:rPr>
        <w:t xml:space="preserve">the </w:t>
      </w:r>
      <w:r w:rsidR="00116FAB" w:rsidRPr="00A3788A">
        <w:rPr>
          <w:szCs w:val="22"/>
        </w:rPr>
        <w:t xml:space="preserve">transcendence of the Most-High </w:t>
      </w:r>
      <w:r w:rsidR="003F7DA8" w:rsidRPr="00A3788A">
        <w:rPr>
          <w:szCs w:val="22"/>
        </w:rPr>
        <w:t xml:space="preserve">in not taken </w:t>
      </w:r>
      <w:r w:rsidR="00116FAB" w:rsidRPr="00A3788A">
        <w:rPr>
          <w:szCs w:val="22"/>
        </w:rPr>
        <w:t>as the supremacy of a God residing above all that he has wrought yet still part of the total picture of reality</w:t>
      </w:r>
      <w:r w:rsidR="003F7DA8" w:rsidRPr="00A3788A">
        <w:rPr>
          <w:szCs w:val="22"/>
        </w:rPr>
        <w:t>, a supreme being amongst other beings</w:t>
      </w:r>
      <w:r w:rsidR="00AB650D" w:rsidRPr="00A3788A">
        <w:rPr>
          <w:szCs w:val="22"/>
        </w:rPr>
        <w:t>. God and creation are not other</w:t>
      </w:r>
      <w:r w:rsidR="006925D9" w:rsidRPr="00A3788A">
        <w:rPr>
          <w:szCs w:val="22"/>
        </w:rPr>
        <w:t xml:space="preserve"> to each other</w:t>
      </w:r>
      <w:r w:rsidR="00AB650D" w:rsidRPr="00A3788A">
        <w:rPr>
          <w:szCs w:val="22"/>
        </w:rPr>
        <w:t xml:space="preserve"> in the way in which </w:t>
      </w:r>
      <w:r w:rsidR="00116FAB" w:rsidRPr="00A3788A">
        <w:rPr>
          <w:szCs w:val="22"/>
        </w:rPr>
        <w:t>one finite being is other to another finite being</w:t>
      </w:r>
      <w:r w:rsidR="006925D9" w:rsidRPr="00A3788A">
        <w:rPr>
          <w:szCs w:val="22"/>
        </w:rPr>
        <w:t>, but rather they</w:t>
      </w:r>
      <w:r w:rsidR="00116FAB" w:rsidRPr="00A3788A">
        <w:rPr>
          <w:szCs w:val="22"/>
        </w:rPr>
        <w:t xml:space="preserve"> are as incommensurable as the infinite to the finite</w:t>
      </w:r>
      <w:r w:rsidR="006925D9" w:rsidRPr="00A3788A">
        <w:rPr>
          <w:szCs w:val="22"/>
        </w:rPr>
        <w:t>:</w:t>
      </w:r>
      <w:r w:rsidR="00116FAB" w:rsidRPr="00A3788A">
        <w:rPr>
          <w:szCs w:val="22"/>
        </w:rPr>
        <w:t xml:space="preserve"> God is, rather, the ‘non-other’, to use the later phrase of </w:t>
      </w:r>
      <w:r w:rsidR="003F7DA8" w:rsidRPr="00A3788A">
        <w:rPr>
          <w:szCs w:val="22"/>
        </w:rPr>
        <w:t xml:space="preserve">Nicolaus </w:t>
      </w:r>
      <w:r w:rsidR="00116FAB" w:rsidRPr="00A3788A">
        <w:rPr>
          <w:szCs w:val="22"/>
        </w:rPr>
        <w:t xml:space="preserve">Cusanus. </w:t>
      </w:r>
    </w:p>
    <w:p w14:paraId="2641DDBA" w14:textId="77777777" w:rsidR="00CA580B" w:rsidRPr="00A3788A" w:rsidRDefault="00CA580B" w:rsidP="00CA580B">
      <w:pPr>
        <w:rPr>
          <w:szCs w:val="22"/>
        </w:rPr>
      </w:pPr>
    </w:p>
    <w:p w14:paraId="6C01093C" w14:textId="3BB58D9C" w:rsidR="00116FAB" w:rsidRDefault="006925D9" w:rsidP="00CA580B">
      <w:pPr>
        <w:rPr>
          <w:szCs w:val="22"/>
        </w:rPr>
      </w:pPr>
      <w:r w:rsidRPr="00A3788A">
        <w:rPr>
          <w:szCs w:val="22"/>
        </w:rPr>
        <w:lastRenderedPageBreak/>
        <w:t>T</w:t>
      </w:r>
      <w:r w:rsidR="00116FAB" w:rsidRPr="00A3788A">
        <w:rPr>
          <w:szCs w:val="22"/>
        </w:rPr>
        <w:t xml:space="preserve">he transcendence of the Most High </w:t>
      </w:r>
      <w:r w:rsidRPr="00A3788A">
        <w:rPr>
          <w:szCs w:val="22"/>
        </w:rPr>
        <w:t xml:space="preserve">is </w:t>
      </w:r>
      <w:r w:rsidR="003F7DA8" w:rsidRPr="00A3788A">
        <w:rPr>
          <w:szCs w:val="22"/>
        </w:rPr>
        <w:t xml:space="preserve">thus </w:t>
      </w:r>
      <w:r w:rsidRPr="00A3788A">
        <w:rPr>
          <w:szCs w:val="22"/>
        </w:rPr>
        <w:t>not a spatial separation</w:t>
      </w:r>
      <w:r w:rsidR="003F7DA8" w:rsidRPr="00A3788A">
        <w:rPr>
          <w:szCs w:val="22"/>
        </w:rPr>
        <w:t xml:space="preserve"> (God is not somewhere else in the realm of being)</w:t>
      </w:r>
      <w:r w:rsidRPr="00A3788A">
        <w:rPr>
          <w:szCs w:val="22"/>
        </w:rPr>
        <w:t xml:space="preserve">, but </w:t>
      </w:r>
      <w:r w:rsidR="003F7DA8" w:rsidRPr="00A3788A">
        <w:rPr>
          <w:szCs w:val="22"/>
        </w:rPr>
        <w:t xml:space="preserve">is </w:t>
      </w:r>
      <w:r w:rsidRPr="00A3788A">
        <w:rPr>
          <w:szCs w:val="22"/>
        </w:rPr>
        <w:t xml:space="preserve">rather </w:t>
      </w:r>
      <w:r w:rsidR="003F7DA8" w:rsidRPr="00A3788A">
        <w:rPr>
          <w:szCs w:val="22"/>
        </w:rPr>
        <w:t xml:space="preserve">a transcendence </w:t>
      </w:r>
      <w:r w:rsidR="00116FAB" w:rsidRPr="00A3788A">
        <w:rPr>
          <w:szCs w:val="22"/>
        </w:rPr>
        <w:t xml:space="preserve">compatible with, or </w:t>
      </w:r>
      <w:r w:rsidRPr="00A3788A">
        <w:rPr>
          <w:szCs w:val="22"/>
        </w:rPr>
        <w:t xml:space="preserve">even </w:t>
      </w:r>
      <w:r w:rsidR="00116FAB" w:rsidRPr="00A3788A">
        <w:rPr>
          <w:szCs w:val="22"/>
        </w:rPr>
        <w:t>better</w:t>
      </w:r>
      <w:r w:rsidRPr="00A3788A">
        <w:rPr>
          <w:szCs w:val="22"/>
        </w:rPr>
        <w:t>,</w:t>
      </w:r>
      <w:r w:rsidR="00116FAB" w:rsidRPr="00A3788A">
        <w:rPr>
          <w:szCs w:val="22"/>
        </w:rPr>
        <w:t xml:space="preserve"> manifest in immanence</w:t>
      </w:r>
      <w:r w:rsidRPr="00A3788A">
        <w:rPr>
          <w:szCs w:val="22"/>
        </w:rPr>
        <w:t>—strength in weakness</w:t>
      </w:r>
      <w:r w:rsidR="00116FAB" w:rsidRPr="00A3788A">
        <w:rPr>
          <w:szCs w:val="22"/>
        </w:rPr>
        <w:t xml:space="preserve">. And </w:t>
      </w:r>
      <w:r w:rsidR="003F7DA8" w:rsidRPr="00A3788A">
        <w:rPr>
          <w:szCs w:val="22"/>
        </w:rPr>
        <w:t xml:space="preserve">so </w:t>
      </w:r>
      <w:r w:rsidR="00116FAB" w:rsidRPr="00A3788A">
        <w:rPr>
          <w:szCs w:val="22"/>
        </w:rPr>
        <w:t xml:space="preserve">in </w:t>
      </w:r>
      <w:r w:rsidR="003F7DA8" w:rsidRPr="00A3788A">
        <w:rPr>
          <w:szCs w:val="22"/>
        </w:rPr>
        <w:t>turn</w:t>
      </w:r>
      <w:r w:rsidR="00116FAB" w:rsidRPr="00A3788A">
        <w:rPr>
          <w:szCs w:val="22"/>
        </w:rPr>
        <w:t xml:space="preserve">, creation ‘was revealed’, in Hart’s words, ‘as being “located” nowhere but </w:t>
      </w:r>
      <w:r w:rsidR="00116FAB" w:rsidRPr="00A3788A">
        <w:rPr>
          <w:i/>
          <w:iCs/>
          <w:szCs w:val="22"/>
        </w:rPr>
        <w:t>within</w:t>
      </w:r>
      <w:r w:rsidR="00116FAB" w:rsidRPr="00A3788A">
        <w:rPr>
          <w:szCs w:val="22"/>
        </w:rPr>
        <w:t xml:space="preserve"> the very life of God </w:t>
      </w:r>
      <w:r w:rsidR="00116FAB" w:rsidRPr="00A3788A">
        <w:rPr>
          <w:i/>
          <w:iCs/>
          <w:szCs w:val="22"/>
        </w:rPr>
        <w:t>as</w:t>
      </w:r>
      <w:r w:rsidR="00116FAB" w:rsidRPr="00A3788A">
        <w:rPr>
          <w:szCs w:val="22"/>
        </w:rPr>
        <w:t xml:space="preserve"> God’; creation is not, he continues, ‘merely a remote effect of divine power’, but as ‘a revelation of the divine actuality, as theophany’; it is the work of God as Spirit through the Word, who is himself the perfect reflection of the Father, so that ‘what causes creation to be, to have form, to live is nothing other than a direct participation in that order of relations by which God is God.’</w:t>
      </w:r>
      <w:r w:rsidR="009841CE">
        <w:rPr>
          <w:rStyle w:val="FootnoteReference"/>
          <w:szCs w:val="22"/>
        </w:rPr>
        <w:footnoteReference w:id="16"/>
      </w:r>
      <w:r w:rsidR="00116FAB" w:rsidRPr="00A3788A">
        <w:rPr>
          <w:szCs w:val="22"/>
        </w:rPr>
        <w:t xml:space="preserve"> It is this ‘novel and more rigorous metaphysics of transcendence’, Hart</w:t>
      </w:r>
      <w:r w:rsidR="00802D98" w:rsidRPr="00A3788A">
        <w:rPr>
          <w:szCs w:val="22"/>
        </w:rPr>
        <w:t xml:space="preserve"> argues</w:t>
      </w:r>
      <w:r w:rsidR="00116FAB" w:rsidRPr="00A3788A">
        <w:rPr>
          <w:szCs w:val="22"/>
        </w:rPr>
        <w:t>, that was ‘obscurely but irreversibly inaugurated at the council’, something that ‘was, or would give rise to, an extraordinary intellectual and spiritual achievement’</w:t>
      </w:r>
      <w:r w:rsidR="009841CE">
        <w:rPr>
          <w:szCs w:val="22"/>
        </w:rPr>
        <w:t>.</w:t>
      </w:r>
      <w:r w:rsidR="009841CE">
        <w:rPr>
          <w:rStyle w:val="FootnoteReference"/>
          <w:szCs w:val="22"/>
        </w:rPr>
        <w:footnoteReference w:id="17"/>
      </w:r>
      <w:r w:rsidR="00116FAB" w:rsidRPr="00A3788A">
        <w:rPr>
          <w:szCs w:val="22"/>
        </w:rPr>
        <w:t xml:space="preserve"> </w:t>
      </w:r>
      <w:r w:rsidR="00802D98" w:rsidRPr="00A3788A">
        <w:rPr>
          <w:szCs w:val="22"/>
        </w:rPr>
        <w:t>A</w:t>
      </w:r>
      <w:r w:rsidR="00116FAB" w:rsidRPr="00A3788A">
        <w:rPr>
          <w:szCs w:val="22"/>
        </w:rPr>
        <w:t xml:space="preserve">lthough ontologically distinct from the divine, </w:t>
      </w:r>
      <w:r w:rsidR="00802D98" w:rsidRPr="00A3788A">
        <w:rPr>
          <w:szCs w:val="22"/>
        </w:rPr>
        <w:t xml:space="preserve">creation </w:t>
      </w:r>
      <w:r w:rsidR="00116FAB" w:rsidRPr="00A3788A">
        <w:rPr>
          <w:szCs w:val="22"/>
        </w:rPr>
        <w:t xml:space="preserve">nevertheless bears the divine presence and is the site of God’s activity, not by a diminishment of his divinity or divine power but ‘entirely as the infinite God present in the finite by an absolute immediacy of act … at once </w:t>
      </w:r>
      <w:r w:rsidR="00116FAB" w:rsidRPr="00A3788A">
        <w:rPr>
          <w:i/>
          <w:iCs/>
          <w:szCs w:val="22"/>
        </w:rPr>
        <w:t xml:space="preserve">superior </w:t>
      </w:r>
      <w:proofErr w:type="spellStart"/>
      <w:r w:rsidR="00116FAB" w:rsidRPr="00A3788A">
        <w:rPr>
          <w:i/>
          <w:iCs/>
          <w:szCs w:val="22"/>
        </w:rPr>
        <w:t>summo</w:t>
      </w:r>
      <w:proofErr w:type="spellEnd"/>
      <w:r w:rsidR="00116FAB" w:rsidRPr="00A3788A">
        <w:rPr>
          <w:szCs w:val="22"/>
        </w:rPr>
        <w:t xml:space="preserve"> and </w:t>
      </w:r>
      <w:r w:rsidR="00116FAB" w:rsidRPr="00A3788A">
        <w:rPr>
          <w:i/>
          <w:iCs/>
          <w:szCs w:val="22"/>
        </w:rPr>
        <w:t xml:space="preserve">interior </w:t>
      </w:r>
      <w:proofErr w:type="spellStart"/>
      <w:r w:rsidR="00116FAB" w:rsidRPr="00A3788A">
        <w:rPr>
          <w:i/>
          <w:iCs/>
          <w:szCs w:val="22"/>
        </w:rPr>
        <w:t>intimo</w:t>
      </w:r>
      <w:proofErr w:type="spellEnd"/>
      <w:r w:rsidR="00116FAB" w:rsidRPr="00A3788A">
        <w:rPr>
          <w:szCs w:val="22"/>
        </w:rPr>
        <w:t>’</w:t>
      </w:r>
      <w:r w:rsidR="009841CE">
        <w:rPr>
          <w:szCs w:val="22"/>
        </w:rPr>
        <w:t>.</w:t>
      </w:r>
      <w:r w:rsidR="009841CE">
        <w:rPr>
          <w:rStyle w:val="FootnoteReference"/>
          <w:szCs w:val="22"/>
        </w:rPr>
        <w:footnoteReference w:id="18"/>
      </w:r>
      <w:r w:rsidR="00116FAB" w:rsidRPr="00A3788A">
        <w:rPr>
          <w:szCs w:val="22"/>
        </w:rPr>
        <w:t xml:space="preserve"> Created, not emanated, the world is no longer ‘full of gods’ (</w:t>
      </w:r>
      <w:r w:rsidR="00E36E31">
        <w:rPr>
          <w:szCs w:val="22"/>
        </w:rPr>
        <w:t>as</w:t>
      </w:r>
      <w:r w:rsidR="00116FAB" w:rsidRPr="00A3788A">
        <w:rPr>
          <w:szCs w:val="22"/>
        </w:rPr>
        <w:t xml:space="preserve"> Thales), or itself ‘god’ (</w:t>
      </w:r>
      <w:r w:rsidR="00E36E31">
        <w:rPr>
          <w:szCs w:val="22"/>
        </w:rPr>
        <w:t>as</w:t>
      </w:r>
      <w:r w:rsidR="00116FAB" w:rsidRPr="00A3788A">
        <w:rPr>
          <w:szCs w:val="22"/>
        </w:rPr>
        <w:t xml:space="preserve"> Timaeus)</w:t>
      </w:r>
      <w:r w:rsidR="00802D98" w:rsidRPr="00A3788A">
        <w:rPr>
          <w:szCs w:val="22"/>
        </w:rPr>
        <w:t xml:space="preserve">; </w:t>
      </w:r>
      <w:r w:rsidR="00116FAB" w:rsidRPr="00A3788A">
        <w:rPr>
          <w:szCs w:val="22"/>
        </w:rPr>
        <w:t>for this term now applies to the one true God, the Most High, together with his Son, begotten not made, and (eventually) to the Spirit who proceeds from the Father and rests upon the Son, in whom ‘we live and move and are’ (Acts 17:28).</w:t>
      </w:r>
    </w:p>
    <w:p w14:paraId="5D43BD81" w14:textId="77777777" w:rsidR="000859F6" w:rsidRPr="00A3788A" w:rsidRDefault="000859F6" w:rsidP="00CA580B">
      <w:pPr>
        <w:rPr>
          <w:szCs w:val="22"/>
        </w:rPr>
      </w:pPr>
    </w:p>
    <w:p w14:paraId="300DBFD9" w14:textId="346765F9" w:rsidR="00617611" w:rsidRDefault="003F7DA8" w:rsidP="00CA580B">
      <w:pPr>
        <w:rPr>
          <w:rFonts w:cs="Times New Roman"/>
          <w:color w:val="000000" w:themeColor="text1"/>
          <w:szCs w:val="22"/>
          <w:shd w:val="clear" w:color="auto" w:fill="FFFFFF"/>
        </w:rPr>
      </w:pPr>
      <w:r w:rsidRPr="00A3788A">
        <w:rPr>
          <w:szCs w:val="22"/>
          <w:lang w:val="en-GB"/>
        </w:rPr>
        <w:t>Yet, while banishing all the so-called gods (lesser divinities, powers, and principalities inhabiting the heavens and the world and the spaces in-between) b</w:t>
      </w:r>
      <w:r w:rsidR="00802D98" w:rsidRPr="00A3788A">
        <w:rPr>
          <w:szCs w:val="22"/>
          <w:lang w:val="en-GB"/>
        </w:rPr>
        <w:t xml:space="preserve">y its affirmation that Jesus Christ is true God of true God, </w:t>
      </w:r>
      <w:r w:rsidRPr="00A3788A">
        <w:rPr>
          <w:szCs w:val="22"/>
          <w:lang w:val="en-GB"/>
        </w:rPr>
        <w:t xml:space="preserve">there remains one exception. </w:t>
      </w:r>
      <w:r w:rsidR="00802D98" w:rsidRPr="00A3788A">
        <w:rPr>
          <w:szCs w:val="22"/>
          <w:lang w:val="en-GB"/>
        </w:rPr>
        <w:t xml:space="preserve">It is striking that </w:t>
      </w:r>
      <w:r w:rsidR="00F021D4" w:rsidRPr="00A3788A">
        <w:rPr>
          <w:rFonts w:cs="Times New Roman"/>
          <w:color w:val="000000" w:themeColor="text1"/>
          <w:szCs w:val="22"/>
          <w:shd w:val="clear" w:color="auto" w:fill="FFFFFF"/>
        </w:rPr>
        <w:t xml:space="preserve">neither the Nicaea nor </w:t>
      </w:r>
      <w:r w:rsidR="00802D98" w:rsidRPr="00A3788A">
        <w:rPr>
          <w:rFonts w:cs="Times New Roman"/>
          <w:color w:val="000000" w:themeColor="text1"/>
          <w:szCs w:val="22"/>
          <w:shd w:val="clear" w:color="auto" w:fill="FFFFFF"/>
        </w:rPr>
        <w:t xml:space="preserve">even </w:t>
      </w:r>
      <w:r w:rsidR="00F021D4" w:rsidRPr="00A3788A">
        <w:rPr>
          <w:rFonts w:cs="Times New Roman"/>
          <w:color w:val="000000" w:themeColor="text1"/>
          <w:szCs w:val="22"/>
          <w:shd w:val="clear" w:color="auto" w:fill="FFFFFF"/>
        </w:rPr>
        <w:t xml:space="preserve">Constantinople extended the application of the term ‘God’ to the Holy Spirit, much to the </w:t>
      </w:r>
      <w:r w:rsidR="00303C84" w:rsidRPr="00A3788A">
        <w:rPr>
          <w:rFonts w:cs="Times New Roman"/>
          <w:color w:val="000000" w:themeColor="text1"/>
          <w:szCs w:val="22"/>
          <w:shd w:val="clear" w:color="auto" w:fill="FFFFFF"/>
        </w:rPr>
        <w:t>annoyance</w:t>
      </w:r>
      <w:r w:rsidR="00F021D4" w:rsidRPr="00A3788A">
        <w:rPr>
          <w:rFonts w:cs="Times New Roman"/>
          <w:color w:val="000000" w:themeColor="text1"/>
          <w:szCs w:val="22"/>
          <w:shd w:val="clear" w:color="auto" w:fill="FFFFFF"/>
        </w:rPr>
        <w:t xml:space="preserve"> of Gregory of Nazianzus</w:t>
      </w:r>
      <w:r w:rsidR="007263BB" w:rsidRPr="00A3788A">
        <w:rPr>
          <w:rFonts w:cs="Times New Roman"/>
          <w:color w:val="000000" w:themeColor="text1"/>
          <w:szCs w:val="22"/>
          <w:shd w:val="clear" w:color="auto" w:fill="FFFFFF"/>
        </w:rPr>
        <w:t xml:space="preserve">, who abandoned the </w:t>
      </w:r>
      <w:r w:rsidRPr="00A3788A">
        <w:rPr>
          <w:rFonts w:cs="Times New Roman"/>
          <w:color w:val="000000" w:themeColor="text1"/>
          <w:szCs w:val="22"/>
          <w:shd w:val="clear" w:color="auto" w:fill="FFFFFF"/>
        </w:rPr>
        <w:t>C</w:t>
      </w:r>
      <w:r w:rsidR="007263BB" w:rsidRPr="00A3788A">
        <w:rPr>
          <w:rFonts w:cs="Times New Roman"/>
          <w:color w:val="000000" w:themeColor="text1"/>
          <w:szCs w:val="22"/>
          <w:shd w:val="clear" w:color="auto" w:fill="FFFFFF"/>
        </w:rPr>
        <w:t xml:space="preserve">ouncil </w:t>
      </w:r>
      <w:r w:rsidRPr="00A3788A">
        <w:rPr>
          <w:rFonts w:cs="Times New Roman"/>
          <w:color w:val="000000" w:themeColor="text1"/>
          <w:szCs w:val="22"/>
          <w:shd w:val="clear" w:color="auto" w:fill="FFFFFF"/>
        </w:rPr>
        <w:t xml:space="preserve">of Constantinople which he had been chairing, </w:t>
      </w:r>
      <w:r w:rsidR="007263BB" w:rsidRPr="00A3788A">
        <w:rPr>
          <w:rFonts w:cs="Times New Roman"/>
          <w:color w:val="000000" w:themeColor="text1"/>
          <w:szCs w:val="22"/>
          <w:shd w:val="clear" w:color="auto" w:fill="FFFFFF"/>
        </w:rPr>
        <w:t xml:space="preserve">lamenting that ‘the sweet and pure spring of our ancient faith … </w:t>
      </w:r>
      <w:r w:rsidRPr="00A3788A">
        <w:rPr>
          <w:rFonts w:cs="Times New Roman"/>
          <w:color w:val="000000" w:themeColor="text1"/>
          <w:szCs w:val="22"/>
          <w:shd w:val="clear" w:color="auto" w:fill="FFFFFF"/>
        </w:rPr>
        <w:t xml:space="preserve">was </w:t>
      </w:r>
      <w:r w:rsidR="007263BB" w:rsidRPr="00A3788A">
        <w:rPr>
          <w:rFonts w:cs="Times New Roman"/>
          <w:color w:val="000000" w:themeColor="text1"/>
          <w:szCs w:val="22"/>
          <w:shd w:val="clear" w:color="auto" w:fill="FFFFFF"/>
        </w:rPr>
        <w:t>being tragically polluted by the briny influx of those of dubious beliefs’ (</w:t>
      </w:r>
      <w:r w:rsidR="0046597C">
        <w:rPr>
          <w:rFonts w:cs="Times New Roman"/>
          <w:i/>
          <w:iCs/>
          <w:color w:val="000000" w:themeColor="text1"/>
          <w:szCs w:val="22"/>
          <w:shd w:val="clear" w:color="auto" w:fill="FFFFFF"/>
        </w:rPr>
        <w:t>On His Own Life</w:t>
      </w:r>
      <w:r w:rsidR="0046597C">
        <w:rPr>
          <w:rFonts w:cs="Times New Roman"/>
          <w:color w:val="000000" w:themeColor="text1"/>
          <w:szCs w:val="22"/>
          <w:shd w:val="clear" w:color="auto" w:fill="FFFFFF"/>
        </w:rPr>
        <w:t>,</w:t>
      </w:r>
      <w:r w:rsidR="0046597C">
        <w:rPr>
          <w:rFonts w:cs="Times New Roman"/>
          <w:i/>
          <w:iCs/>
          <w:color w:val="000000" w:themeColor="text1"/>
          <w:szCs w:val="22"/>
          <w:shd w:val="clear" w:color="auto" w:fill="FFFFFF"/>
        </w:rPr>
        <w:t xml:space="preserve"> </w:t>
      </w:r>
      <w:r w:rsidR="007263BB" w:rsidRPr="00A3788A">
        <w:rPr>
          <w:rFonts w:cs="Times New Roman"/>
          <w:color w:val="000000" w:themeColor="text1"/>
          <w:szCs w:val="22"/>
          <w:shd w:val="clear" w:color="auto" w:fill="FFFFFF"/>
        </w:rPr>
        <w:t>1703–9)</w:t>
      </w:r>
      <w:r w:rsidRPr="00A3788A">
        <w:rPr>
          <w:rFonts w:cs="Times New Roman"/>
          <w:color w:val="000000" w:themeColor="text1"/>
          <w:szCs w:val="22"/>
          <w:shd w:val="clear" w:color="auto" w:fill="FFFFFF"/>
        </w:rPr>
        <w:t xml:space="preserve">; thereafter </w:t>
      </w:r>
      <w:r w:rsidR="00303C84" w:rsidRPr="00A3788A">
        <w:rPr>
          <w:rFonts w:cs="Times New Roman"/>
          <w:color w:val="000000" w:themeColor="text1"/>
          <w:szCs w:val="22"/>
          <w:shd w:val="clear" w:color="auto" w:fill="FFFFFF"/>
        </w:rPr>
        <w:t xml:space="preserve">he </w:t>
      </w:r>
      <w:r w:rsidR="007263BB" w:rsidRPr="00A3788A">
        <w:rPr>
          <w:rFonts w:cs="Times New Roman"/>
          <w:color w:val="000000" w:themeColor="text1"/>
          <w:szCs w:val="22"/>
          <w:shd w:val="clear" w:color="auto" w:fill="FFFFFF"/>
        </w:rPr>
        <w:t xml:space="preserve">refused to attend </w:t>
      </w:r>
      <w:r w:rsidR="00303C84" w:rsidRPr="00A3788A">
        <w:rPr>
          <w:rFonts w:cs="Times New Roman"/>
          <w:color w:val="000000" w:themeColor="text1"/>
          <w:szCs w:val="22"/>
          <w:shd w:val="clear" w:color="auto" w:fill="FFFFFF"/>
        </w:rPr>
        <w:t xml:space="preserve">ever again </w:t>
      </w:r>
      <w:r w:rsidR="007263BB" w:rsidRPr="00A3788A">
        <w:rPr>
          <w:rFonts w:cs="Times New Roman"/>
          <w:color w:val="000000" w:themeColor="text1"/>
          <w:szCs w:val="22"/>
          <w:shd w:val="clear" w:color="auto" w:fill="FFFFFF"/>
        </w:rPr>
        <w:t>any council of bishops, ‘as they do not solve problems, they increase them’ (</w:t>
      </w:r>
      <w:r w:rsidR="007263BB" w:rsidRPr="00A3788A">
        <w:rPr>
          <w:rFonts w:cs="Times New Roman"/>
          <w:i/>
          <w:iCs/>
          <w:color w:val="000000" w:themeColor="text1"/>
          <w:szCs w:val="22"/>
          <w:shd w:val="clear" w:color="auto" w:fill="FFFFFF"/>
        </w:rPr>
        <w:t>Ep</w:t>
      </w:r>
      <w:r w:rsidR="007263BB" w:rsidRPr="00A3788A">
        <w:rPr>
          <w:rFonts w:cs="Times New Roman"/>
          <w:color w:val="000000" w:themeColor="text1"/>
          <w:szCs w:val="22"/>
          <w:shd w:val="clear" w:color="auto" w:fill="FFFFFF"/>
        </w:rPr>
        <w:t xml:space="preserve">. 130)—a salutary reminder lest we end up idealizing or idolizing these councils! </w:t>
      </w:r>
    </w:p>
    <w:p w14:paraId="0FCA7881" w14:textId="77777777" w:rsidR="00CA580B" w:rsidRDefault="00CA580B" w:rsidP="00CA580B">
      <w:pPr>
        <w:rPr>
          <w:rFonts w:cs="Times New Roman"/>
          <w:color w:val="000000" w:themeColor="text1"/>
          <w:szCs w:val="22"/>
          <w:shd w:val="clear" w:color="auto" w:fill="FFFFFF"/>
        </w:rPr>
      </w:pPr>
    </w:p>
    <w:p w14:paraId="4B43FA1B" w14:textId="3ABE4299" w:rsidR="005351E3" w:rsidRPr="00A3788A" w:rsidRDefault="007263BB" w:rsidP="00CA580B">
      <w:pPr>
        <w:rPr>
          <w:szCs w:val="22"/>
        </w:rPr>
      </w:pPr>
      <w:r w:rsidRPr="00A3788A">
        <w:rPr>
          <w:rFonts w:cs="Times New Roman"/>
          <w:color w:val="000000" w:themeColor="text1"/>
          <w:szCs w:val="22"/>
          <w:shd w:val="clear" w:color="auto" w:fill="FFFFFF"/>
        </w:rPr>
        <w:t xml:space="preserve">It was certainly accepted (at least by most) </w:t>
      </w:r>
      <w:r w:rsidR="00F021D4" w:rsidRPr="00A3788A">
        <w:rPr>
          <w:rFonts w:cs="Times New Roman"/>
          <w:color w:val="000000" w:themeColor="text1"/>
          <w:szCs w:val="22"/>
          <w:shd w:val="clear" w:color="auto" w:fill="FFFFFF"/>
        </w:rPr>
        <w:t>that the Spirit belongs to the uncreated, divine side of the ontological gulf, and, indeed, the term ‘God’ would consistently be applied to the Spirit soon thereafter. However, that this was not included within the Nicene Creed(s) preserves the Scriptural use of the term ‘God’</w:t>
      </w:r>
      <w:r w:rsidRPr="00A3788A">
        <w:rPr>
          <w:rFonts w:cs="Times New Roman"/>
          <w:color w:val="000000" w:themeColor="text1"/>
          <w:szCs w:val="22"/>
          <w:shd w:val="clear" w:color="auto" w:fill="FFFFFF"/>
        </w:rPr>
        <w:t>, where it is not applied to the Spirit</w:t>
      </w:r>
      <w:r w:rsidR="005351E3" w:rsidRPr="00A3788A">
        <w:rPr>
          <w:rFonts w:cs="Times New Roman"/>
          <w:color w:val="000000" w:themeColor="text1"/>
          <w:szCs w:val="22"/>
          <w:shd w:val="clear" w:color="auto" w:fill="FFFFFF"/>
        </w:rPr>
        <w:t xml:space="preserve">. </w:t>
      </w:r>
      <w:r w:rsidR="00303C84" w:rsidRPr="00A3788A">
        <w:rPr>
          <w:rFonts w:cs="Times New Roman"/>
          <w:color w:val="000000" w:themeColor="text1"/>
          <w:szCs w:val="22"/>
          <w:shd w:val="clear" w:color="auto" w:fill="FFFFFF"/>
        </w:rPr>
        <w:t xml:space="preserve">Yet, on the other hand, with the metaphysical sea-change in understanding the transcendence of God—as manifest in imminence, strength in weakness—the Scriptural use of the word ‘God’ as applied to human beings can be retained: </w:t>
      </w:r>
      <w:r w:rsidR="00F021D4" w:rsidRPr="00A3788A">
        <w:rPr>
          <w:rFonts w:cs="Times New Roman"/>
          <w:color w:val="000000" w:themeColor="text1"/>
          <w:szCs w:val="22"/>
          <w:shd w:val="clear" w:color="auto" w:fill="FFFFFF"/>
        </w:rPr>
        <w:t>as in the words of the Psalm quoted by Jesus himself</w:t>
      </w:r>
      <w:r w:rsidR="00303C84" w:rsidRPr="00A3788A">
        <w:rPr>
          <w:rFonts w:cs="Times New Roman"/>
          <w:color w:val="000000" w:themeColor="text1"/>
          <w:szCs w:val="22"/>
          <w:shd w:val="clear" w:color="auto" w:fill="FFFFFF"/>
        </w:rPr>
        <w:t xml:space="preserve">: </w:t>
      </w:r>
      <w:r w:rsidR="00F021D4" w:rsidRPr="00A3788A">
        <w:rPr>
          <w:rFonts w:cs="Times New Roman"/>
          <w:color w:val="000000" w:themeColor="text1"/>
          <w:szCs w:val="22"/>
          <w:shd w:val="clear" w:color="auto" w:fill="FFFFFF"/>
        </w:rPr>
        <w:t>‘You are Gods’ (</w:t>
      </w:r>
      <w:r w:rsidR="00F021D4" w:rsidRPr="00A3788A">
        <w:rPr>
          <w:szCs w:val="22"/>
        </w:rPr>
        <w:t>Ps 81/2: 6–7; John 10:34</w:t>
      </w:r>
      <w:r w:rsidR="00F021D4" w:rsidRPr="00A3788A">
        <w:rPr>
          <w:rFonts w:cs="Times New Roman"/>
          <w:color w:val="000000" w:themeColor="text1"/>
          <w:szCs w:val="22"/>
          <w:shd w:val="clear" w:color="auto" w:fill="FFFFFF"/>
        </w:rPr>
        <w:t xml:space="preserve">). </w:t>
      </w:r>
      <w:r w:rsidR="00303C84" w:rsidRPr="00A3788A">
        <w:rPr>
          <w:rFonts w:cs="Times New Roman"/>
          <w:color w:val="000000" w:themeColor="text1"/>
          <w:szCs w:val="22"/>
          <w:shd w:val="clear" w:color="auto" w:fill="FFFFFF"/>
        </w:rPr>
        <w:t>But, importantly, t</w:t>
      </w:r>
      <w:r w:rsidR="00F021D4" w:rsidRPr="00A3788A">
        <w:rPr>
          <w:rFonts w:cs="Times New Roman"/>
          <w:color w:val="000000" w:themeColor="text1"/>
          <w:szCs w:val="22"/>
          <w:shd w:val="clear" w:color="auto" w:fill="FFFFFF"/>
        </w:rPr>
        <w:t xml:space="preserve">hat Jesus says this before the Passion, with the words a little later, ‘Where I am going you cannot follow me now, but you will follow afterwards’ (John 13:36), picks up the second part of the Psalm verse: </w:t>
      </w:r>
      <w:r w:rsidR="00F021D4" w:rsidRPr="00A3788A">
        <w:rPr>
          <w:szCs w:val="22"/>
        </w:rPr>
        <w:t xml:space="preserve">“You are Gods, sons of the Most-High; but you will die like human beings” (Ps 81/2: 6–7). </w:t>
      </w:r>
      <w:r w:rsidR="005351E3" w:rsidRPr="00A3788A">
        <w:rPr>
          <w:szCs w:val="22"/>
        </w:rPr>
        <w:t>While not articulated within the creed itself, the consequence the creed is that, as Athanasius put it, ‘he became human so that we might be deified, made God’, and in this way speaks to our own calling</w:t>
      </w:r>
      <w:r w:rsidR="00303C84" w:rsidRPr="00A3788A">
        <w:rPr>
          <w:szCs w:val="22"/>
        </w:rPr>
        <w:t>, today</w:t>
      </w:r>
      <w:r w:rsidR="005351E3" w:rsidRPr="00A3788A">
        <w:rPr>
          <w:szCs w:val="22"/>
        </w:rPr>
        <w:t>.</w:t>
      </w:r>
    </w:p>
    <w:p w14:paraId="497B243A" w14:textId="0A8E410D" w:rsidR="00116FAB" w:rsidRPr="00A3788A" w:rsidRDefault="00116FAB" w:rsidP="00CA580B">
      <w:pPr>
        <w:rPr>
          <w:rFonts w:cs="Times New Roman"/>
          <w:color w:val="000000" w:themeColor="text1"/>
          <w:szCs w:val="22"/>
          <w:shd w:val="clear" w:color="auto" w:fill="FFFFFF"/>
        </w:rPr>
      </w:pPr>
    </w:p>
    <w:sectPr w:rsidR="00116FAB" w:rsidRPr="00A3788A" w:rsidSect="006F30B0">
      <w:headerReference w:type="even" r:id="rId6"/>
      <w:headerReference w:type="default" r:id="rId7"/>
      <w:footerReference w:type="even" r:id="rId8"/>
      <w:footerReference w:type="default" r:id="rId9"/>
      <w:pgSz w:w="11900" w:h="168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B7DF5" w14:textId="77777777" w:rsidR="00914544" w:rsidRDefault="00914544" w:rsidP="004F550B">
      <w:r>
        <w:separator/>
      </w:r>
    </w:p>
  </w:endnote>
  <w:endnote w:type="continuationSeparator" w:id="0">
    <w:p w14:paraId="5F615751" w14:textId="77777777" w:rsidR="00914544" w:rsidRDefault="00914544" w:rsidP="004F5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0050000000000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49314" w14:textId="77777777" w:rsidR="004F550B" w:rsidRDefault="004F550B" w:rsidP="00DC58E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FFB4EC9" w14:textId="77777777" w:rsidR="004F550B" w:rsidRDefault="004F550B" w:rsidP="00DC58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BE3A5" w14:textId="77777777" w:rsidR="004F550B" w:rsidRPr="006F30B0" w:rsidRDefault="004F550B" w:rsidP="00DC58E3">
    <w:pPr>
      <w:pStyle w:val="Footer"/>
      <w:jc w:val="center"/>
      <w:rPr>
        <w:rStyle w:val="PageNumber"/>
        <w:rFonts w:cs="Times New Roman"/>
        <w:b w:val="0"/>
        <w:bCs/>
        <w:sz w:val="20"/>
        <w:szCs w:val="20"/>
        <w:lang w:val="en-GB"/>
      </w:rPr>
    </w:pPr>
    <w:r w:rsidRPr="006F30B0">
      <w:rPr>
        <w:rStyle w:val="PageNumber"/>
        <w:rFonts w:cs="Times New Roman"/>
        <w:b w:val="0"/>
        <w:bCs/>
        <w:sz w:val="20"/>
        <w:szCs w:val="20"/>
        <w:lang w:val="en-GB"/>
      </w:rPr>
      <w:fldChar w:fldCharType="begin"/>
    </w:r>
    <w:r w:rsidRPr="006F30B0">
      <w:rPr>
        <w:rStyle w:val="PageNumber"/>
        <w:rFonts w:cs="Times New Roman"/>
        <w:b w:val="0"/>
        <w:bCs/>
        <w:sz w:val="20"/>
        <w:szCs w:val="20"/>
        <w:lang w:val="en-GB"/>
      </w:rPr>
      <w:instrText xml:space="preserve">PAGE  </w:instrText>
    </w:r>
    <w:r w:rsidRPr="006F30B0">
      <w:rPr>
        <w:rStyle w:val="PageNumber"/>
        <w:rFonts w:cs="Times New Roman"/>
        <w:b w:val="0"/>
        <w:bCs/>
        <w:sz w:val="20"/>
        <w:szCs w:val="20"/>
        <w:lang w:val="en-GB"/>
      </w:rPr>
      <w:fldChar w:fldCharType="separate"/>
    </w:r>
    <w:r w:rsidR="006B0980" w:rsidRPr="006F30B0">
      <w:rPr>
        <w:rStyle w:val="PageNumber"/>
        <w:rFonts w:cs="Times New Roman"/>
        <w:b w:val="0"/>
        <w:bCs/>
        <w:noProof/>
        <w:sz w:val="20"/>
        <w:szCs w:val="20"/>
        <w:lang w:val="en-GB"/>
      </w:rPr>
      <w:t>1</w:t>
    </w:r>
    <w:r w:rsidRPr="006F30B0">
      <w:rPr>
        <w:rStyle w:val="PageNumber"/>
        <w:rFonts w:cs="Times New Roman"/>
        <w:b w:val="0"/>
        <w:bCs/>
        <w:sz w:val="20"/>
        <w:szCs w:val="20"/>
        <w:lang w:val="en-GB"/>
      </w:rPr>
      <w:fldChar w:fldCharType="end"/>
    </w:r>
  </w:p>
  <w:p w14:paraId="40D8FBDF" w14:textId="77777777" w:rsidR="004F550B" w:rsidRPr="004F550B" w:rsidRDefault="004F550B" w:rsidP="00DC5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31CF2" w14:textId="77777777" w:rsidR="00914544" w:rsidRDefault="00914544" w:rsidP="004F550B">
      <w:r>
        <w:separator/>
      </w:r>
    </w:p>
  </w:footnote>
  <w:footnote w:type="continuationSeparator" w:id="0">
    <w:p w14:paraId="459D8E50" w14:textId="77777777" w:rsidR="00914544" w:rsidRDefault="00914544" w:rsidP="004F550B">
      <w:r>
        <w:continuationSeparator/>
      </w:r>
    </w:p>
  </w:footnote>
  <w:footnote w:id="1">
    <w:p w14:paraId="394CBB10" w14:textId="676B2649" w:rsidR="00AD4861" w:rsidRPr="00AD4861" w:rsidRDefault="00AD4861">
      <w:pPr>
        <w:pStyle w:val="FootnoteText"/>
        <w:rPr>
          <w:lang w:val="en-GB"/>
        </w:rPr>
      </w:pPr>
      <w:r>
        <w:rPr>
          <w:rStyle w:val="FootnoteReference"/>
        </w:rPr>
        <w:footnoteRef/>
      </w:r>
      <w:r>
        <w:t xml:space="preserve"> </w:t>
      </w:r>
      <w:r>
        <w:rPr>
          <w:lang w:val="en-GB"/>
        </w:rPr>
        <w:t xml:space="preserve">J. N. D. Kelly, </w:t>
      </w:r>
      <w:r>
        <w:rPr>
          <w:i/>
          <w:iCs/>
          <w:lang w:val="en-GB"/>
        </w:rPr>
        <w:t>Early Christian Creeds</w:t>
      </w:r>
      <w:r>
        <w:rPr>
          <w:lang w:val="en-GB"/>
        </w:rPr>
        <w:t>, 3</w:t>
      </w:r>
      <w:r w:rsidRPr="00AD4861">
        <w:rPr>
          <w:vertAlign w:val="superscript"/>
          <w:lang w:val="en-GB"/>
        </w:rPr>
        <w:t>rd</w:t>
      </w:r>
      <w:r>
        <w:rPr>
          <w:lang w:val="en-GB"/>
        </w:rPr>
        <w:t xml:space="preserve"> </w:t>
      </w:r>
      <w:proofErr w:type="spellStart"/>
      <w:r>
        <w:rPr>
          <w:lang w:val="en-GB"/>
        </w:rPr>
        <w:t>edn</w:t>
      </w:r>
      <w:proofErr w:type="spellEnd"/>
      <w:r>
        <w:rPr>
          <w:lang w:val="en-GB"/>
        </w:rPr>
        <w:t>. (London: Longman, 1972), 296.</w:t>
      </w:r>
    </w:p>
  </w:footnote>
  <w:footnote w:id="2">
    <w:p w14:paraId="64A6AAD1" w14:textId="31D7481E" w:rsidR="00AD4861" w:rsidRPr="00AD4861" w:rsidRDefault="00AD4861">
      <w:pPr>
        <w:pStyle w:val="FootnoteText"/>
        <w:rPr>
          <w:lang w:val="en-GB"/>
        </w:rPr>
      </w:pPr>
      <w:r>
        <w:rPr>
          <w:rStyle w:val="FootnoteReference"/>
        </w:rPr>
        <w:footnoteRef/>
      </w:r>
      <w:r>
        <w:t xml:space="preserve"> </w:t>
      </w:r>
      <w:r>
        <w:rPr>
          <w:lang w:val="en-GB"/>
        </w:rPr>
        <w:t xml:space="preserve">Peter Struck, </w:t>
      </w:r>
      <w:r>
        <w:rPr>
          <w:i/>
          <w:iCs/>
          <w:lang w:val="en-GB"/>
        </w:rPr>
        <w:t>The Birth of the Symbol: Ancient Readers at the Limits of Their Texts</w:t>
      </w:r>
      <w:r>
        <w:rPr>
          <w:lang w:val="en-GB"/>
        </w:rPr>
        <w:t xml:space="preserve"> (Princeton: Princeton University Press</w:t>
      </w:r>
      <w:r>
        <w:rPr>
          <w:i/>
          <w:iCs/>
          <w:lang w:val="en-GB"/>
        </w:rPr>
        <w:t xml:space="preserve">, </w:t>
      </w:r>
      <w:r>
        <w:rPr>
          <w:lang w:val="en-GB"/>
        </w:rPr>
        <w:t>2004), 78, 80.</w:t>
      </w:r>
    </w:p>
  </w:footnote>
  <w:footnote w:id="3">
    <w:p w14:paraId="1406CA12" w14:textId="0F11726B" w:rsidR="00072EE1" w:rsidRPr="00072EE1" w:rsidRDefault="00072EE1">
      <w:pPr>
        <w:pStyle w:val="FootnoteText"/>
        <w:rPr>
          <w:lang w:val="en-GB"/>
        </w:rPr>
      </w:pPr>
      <w:r>
        <w:rPr>
          <w:rStyle w:val="FootnoteReference"/>
        </w:rPr>
        <w:footnoteRef/>
      </w:r>
      <w:r>
        <w:t xml:space="preserve"> </w:t>
      </w:r>
      <w:r>
        <w:rPr>
          <w:lang w:val="en-GB"/>
        </w:rPr>
        <w:t xml:space="preserve">A point made by R. Pfeiffer, </w:t>
      </w:r>
      <w:r>
        <w:rPr>
          <w:i/>
          <w:iCs/>
          <w:lang w:val="en-GB"/>
        </w:rPr>
        <w:t>A History of Classical Scholarship: From the Beginnings to the End of the Hellenistic Age</w:t>
      </w:r>
      <w:r>
        <w:rPr>
          <w:lang w:val="en-GB"/>
        </w:rPr>
        <w:t xml:space="preserve"> (Oxford: Clarendon Press, 1968), 207.</w:t>
      </w:r>
    </w:p>
  </w:footnote>
  <w:footnote w:id="4">
    <w:p w14:paraId="4320759B" w14:textId="3D3137B1" w:rsidR="0046597C" w:rsidRPr="0046597C" w:rsidRDefault="0046597C">
      <w:pPr>
        <w:pStyle w:val="FootnoteText"/>
        <w:rPr>
          <w:lang w:val="en-GB"/>
        </w:rPr>
      </w:pPr>
      <w:r>
        <w:rPr>
          <w:rStyle w:val="FootnoteReference"/>
        </w:rPr>
        <w:footnoteRef/>
      </w:r>
      <w:r>
        <w:t xml:space="preserve"> </w:t>
      </w:r>
      <w:r>
        <w:rPr>
          <w:i/>
          <w:iCs/>
          <w:lang w:val="en-GB"/>
        </w:rPr>
        <w:t>First Epistle of Clement</w:t>
      </w:r>
      <w:r>
        <w:rPr>
          <w:lang w:val="en-GB"/>
        </w:rPr>
        <w:t xml:space="preserve">, 7:2–4. Ed. and trans. by </w:t>
      </w:r>
      <w:r>
        <w:t>K. Lake, L</w:t>
      </w:r>
      <w:r>
        <w:t xml:space="preserve">oeb Classical Library, </w:t>
      </w:r>
      <w:r>
        <w:t>Apostolic Fathers, 1 (Cambridge, Mass.: Harvard University Press, 1985).</w:t>
      </w:r>
    </w:p>
  </w:footnote>
  <w:footnote w:id="5">
    <w:p w14:paraId="1F6CCBB9" w14:textId="60BC2E06" w:rsidR="0046597C" w:rsidRPr="0046597C" w:rsidRDefault="0046597C">
      <w:pPr>
        <w:pStyle w:val="FootnoteText"/>
        <w:rPr>
          <w:lang w:val="en-GB"/>
        </w:rPr>
      </w:pPr>
      <w:r>
        <w:rPr>
          <w:rStyle w:val="FootnoteReference"/>
        </w:rPr>
        <w:footnoteRef/>
      </w:r>
      <w:r>
        <w:t xml:space="preserve"> </w:t>
      </w:r>
      <w:r>
        <w:rPr>
          <w:lang w:val="en-GB"/>
        </w:rPr>
        <w:t>Eusebius of Caesarea</w:t>
      </w:r>
      <w:r>
        <w:rPr>
          <w:i/>
          <w:iCs/>
          <w:lang w:val="en-GB"/>
        </w:rPr>
        <w:t xml:space="preserve"> Ecclesiastical History</w:t>
      </w:r>
      <w:r>
        <w:rPr>
          <w:lang w:val="en-GB"/>
        </w:rPr>
        <w:t>, 5.24.4–5.</w:t>
      </w:r>
    </w:p>
  </w:footnote>
  <w:footnote w:id="6">
    <w:p w14:paraId="03CB2A4D" w14:textId="114DAB3F" w:rsidR="0046597C" w:rsidRPr="0046597C" w:rsidRDefault="0046597C">
      <w:pPr>
        <w:pStyle w:val="FootnoteText"/>
        <w:rPr>
          <w:lang w:val="en-GB"/>
        </w:rPr>
      </w:pPr>
      <w:r>
        <w:rPr>
          <w:rStyle w:val="FootnoteReference"/>
        </w:rPr>
        <w:footnoteRef/>
      </w:r>
      <w:r>
        <w:t xml:space="preserve"> A translation of Book One of </w:t>
      </w:r>
      <w:r w:rsidRPr="0046597C">
        <w:rPr>
          <w:i/>
          <w:iCs/>
        </w:rPr>
        <w:t>Against the Heresies</w:t>
      </w:r>
      <w:r>
        <w:t xml:space="preserve"> (hereafter, </w:t>
      </w:r>
      <w:r>
        <w:rPr>
          <w:i/>
          <w:iCs/>
        </w:rPr>
        <w:t>Haer.</w:t>
      </w:r>
      <w:r>
        <w:t xml:space="preserve">) can be found in </w:t>
      </w:r>
      <w:r w:rsidRPr="00A10FA0">
        <w:rPr>
          <w:lang w:val="en-GB"/>
        </w:rPr>
        <w:t>D. J. Unger, rev. J. J. Dillon, Ancient Christian Writers, 55 (New York: Paulist Press, 1992)</w:t>
      </w:r>
      <w:r>
        <w:rPr>
          <w:lang w:val="en-GB"/>
        </w:rPr>
        <w:t xml:space="preserve">; I have modified the translation, using the critical edition prepared by </w:t>
      </w:r>
      <w:r w:rsidRPr="00A10FA0">
        <w:t>A. Rousseau and L. Doutreleau, Sources Chrétiennes 264, (Paris: Cerf, 1979)</w:t>
      </w:r>
      <w:r>
        <w:t>.</w:t>
      </w:r>
    </w:p>
  </w:footnote>
  <w:footnote w:id="7">
    <w:p w14:paraId="0B7A84BC" w14:textId="6D676BD2" w:rsidR="0046597C" w:rsidRPr="000859F6" w:rsidRDefault="0046597C" w:rsidP="000859F6">
      <w:pPr>
        <w:rPr>
          <w:sz w:val="20"/>
          <w:szCs w:val="20"/>
        </w:rPr>
      </w:pPr>
      <w:r>
        <w:rPr>
          <w:rStyle w:val="FootnoteReference"/>
        </w:rPr>
        <w:footnoteRef/>
      </w:r>
      <w:r>
        <w:t xml:space="preserve"> </w:t>
      </w:r>
      <w:r w:rsidRPr="000859F6">
        <w:rPr>
          <w:sz w:val="20"/>
          <w:szCs w:val="20"/>
          <w:lang w:val="en-GB"/>
        </w:rPr>
        <w:t xml:space="preserve">Sextus </w:t>
      </w:r>
      <w:proofErr w:type="spellStart"/>
      <w:r w:rsidRPr="000859F6">
        <w:rPr>
          <w:sz w:val="20"/>
          <w:szCs w:val="20"/>
          <w:lang w:val="en-GB"/>
        </w:rPr>
        <w:t>Empiricus</w:t>
      </w:r>
      <w:proofErr w:type="spellEnd"/>
      <w:r w:rsidRPr="000859F6">
        <w:rPr>
          <w:sz w:val="20"/>
          <w:szCs w:val="20"/>
          <w:lang w:val="en-GB"/>
        </w:rPr>
        <w:t xml:space="preserve">, </w:t>
      </w:r>
      <w:r w:rsidRPr="000859F6">
        <w:rPr>
          <w:i/>
          <w:sz w:val="20"/>
          <w:szCs w:val="20"/>
          <w:lang w:val="en-GB"/>
        </w:rPr>
        <w:t>Math.</w:t>
      </w:r>
      <w:r w:rsidRPr="000859F6">
        <w:rPr>
          <w:sz w:val="20"/>
          <w:szCs w:val="20"/>
          <w:lang w:val="en-GB"/>
        </w:rPr>
        <w:t xml:space="preserve"> 3.3-4</w:t>
      </w:r>
      <w:r w:rsidRPr="000859F6">
        <w:rPr>
          <w:sz w:val="20"/>
          <w:szCs w:val="20"/>
          <w:lang w:val="en-GB"/>
        </w:rPr>
        <w:t xml:space="preserve">. </w:t>
      </w:r>
      <w:r w:rsidR="000859F6" w:rsidRPr="000859F6">
        <w:rPr>
          <w:sz w:val="20"/>
          <w:szCs w:val="20"/>
          <w:lang w:val="en-GB"/>
        </w:rPr>
        <w:t xml:space="preserve">Ed. and trans. </w:t>
      </w:r>
      <w:r w:rsidRPr="000859F6">
        <w:rPr>
          <w:sz w:val="20"/>
          <w:szCs w:val="20"/>
        </w:rPr>
        <w:t>R. G. Bury, L</w:t>
      </w:r>
      <w:r w:rsidR="000859F6" w:rsidRPr="000859F6">
        <w:rPr>
          <w:sz w:val="20"/>
          <w:szCs w:val="20"/>
        </w:rPr>
        <w:t xml:space="preserve">oeb Classical Library, </w:t>
      </w:r>
      <w:r w:rsidRPr="000859F6">
        <w:rPr>
          <w:sz w:val="20"/>
          <w:szCs w:val="20"/>
        </w:rPr>
        <w:t xml:space="preserve">Sextus </w:t>
      </w:r>
      <w:proofErr w:type="spellStart"/>
      <w:r w:rsidRPr="000859F6">
        <w:rPr>
          <w:sz w:val="20"/>
          <w:szCs w:val="20"/>
        </w:rPr>
        <w:t>Empiricus</w:t>
      </w:r>
      <w:proofErr w:type="spellEnd"/>
      <w:r w:rsidRPr="000859F6">
        <w:rPr>
          <w:sz w:val="20"/>
          <w:szCs w:val="20"/>
        </w:rPr>
        <w:t>, 4 (Cambridge Mass.: Harvard University Press, 1937).</w:t>
      </w:r>
    </w:p>
  </w:footnote>
  <w:footnote w:id="8">
    <w:p w14:paraId="65DCBC93" w14:textId="185A50AD" w:rsidR="000859F6" w:rsidRPr="000859F6" w:rsidRDefault="000859F6" w:rsidP="000859F6">
      <w:pPr>
        <w:rPr>
          <w:sz w:val="20"/>
          <w:szCs w:val="20"/>
        </w:rPr>
      </w:pPr>
      <w:r>
        <w:rPr>
          <w:rStyle w:val="FootnoteReference"/>
        </w:rPr>
        <w:footnoteRef/>
      </w:r>
      <w:r>
        <w:t xml:space="preserve"> </w:t>
      </w:r>
      <w:r w:rsidRPr="000859F6">
        <w:rPr>
          <w:sz w:val="20"/>
          <w:szCs w:val="20"/>
        </w:rPr>
        <w:t xml:space="preserve">Aristotle, </w:t>
      </w:r>
      <w:r w:rsidRPr="000859F6">
        <w:rPr>
          <w:i/>
          <w:sz w:val="20"/>
          <w:szCs w:val="20"/>
        </w:rPr>
        <w:t>Metaphysics</w:t>
      </w:r>
      <w:r w:rsidRPr="000859F6">
        <w:rPr>
          <w:sz w:val="20"/>
          <w:szCs w:val="20"/>
        </w:rPr>
        <w:t xml:space="preserve">, 5.1.2 </w:t>
      </w:r>
      <w:r w:rsidRPr="000859F6">
        <w:rPr>
          <w:sz w:val="20"/>
          <w:szCs w:val="20"/>
        </w:rPr>
        <w:t>(</w:t>
      </w:r>
      <w:r w:rsidRPr="000859F6">
        <w:rPr>
          <w:sz w:val="20"/>
          <w:szCs w:val="20"/>
        </w:rPr>
        <w:t>1013a17)</w:t>
      </w:r>
      <w:r w:rsidRPr="000859F6">
        <w:rPr>
          <w:sz w:val="20"/>
          <w:szCs w:val="20"/>
        </w:rPr>
        <w:t>. E</w:t>
      </w:r>
      <w:r w:rsidRPr="000859F6">
        <w:rPr>
          <w:sz w:val="20"/>
          <w:szCs w:val="20"/>
        </w:rPr>
        <w:t>d. and trans. H. Tredennick, LCL Aristotle, 17-18 (Cambridge, Mass.: Harvard University Press, 1933).</w:t>
      </w:r>
    </w:p>
  </w:footnote>
  <w:footnote w:id="9">
    <w:p w14:paraId="603F16F0" w14:textId="550AFEDE" w:rsidR="000859F6" w:rsidRPr="000859F6" w:rsidRDefault="000859F6" w:rsidP="000859F6">
      <w:pPr>
        <w:rPr>
          <w:sz w:val="20"/>
          <w:szCs w:val="20"/>
        </w:rPr>
      </w:pPr>
      <w:r>
        <w:rPr>
          <w:rStyle w:val="FootnoteReference"/>
        </w:rPr>
        <w:footnoteRef/>
      </w:r>
      <w:r>
        <w:t xml:space="preserve"> </w:t>
      </w:r>
      <w:r w:rsidRPr="000859F6">
        <w:rPr>
          <w:sz w:val="20"/>
          <w:szCs w:val="20"/>
        </w:rPr>
        <w:t xml:space="preserve">Aristotle, </w:t>
      </w:r>
      <w:r w:rsidRPr="000859F6">
        <w:rPr>
          <w:i/>
          <w:iCs/>
          <w:sz w:val="20"/>
          <w:szCs w:val="20"/>
        </w:rPr>
        <w:t>Eudemian Ethics</w:t>
      </w:r>
      <w:r w:rsidRPr="000859F6">
        <w:rPr>
          <w:sz w:val="20"/>
          <w:szCs w:val="20"/>
        </w:rPr>
        <w:t>, 1227b</w:t>
      </w:r>
      <w:r w:rsidRPr="000859F6">
        <w:rPr>
          <w:sz w:val="20"/>
          <w:szCs w:val="20"/>
        </w:rPr>
        <w:t>. E</w:t>
      </w:r>
      <w:r w:rsidRPr="000859F6">
        <w:rPr>
          <w:sz w:val="20"/>
          <w:szCs w:val="20"/>
        </w:rPr>
        <w:t>d. and trans. H. Rackham, LCL Aristotle, 20 (Cambridge, Mass.: Harvard University Press, 1935).</w:t>
      </w:r>
    </w:p>
  </w:footnote>
  <w:footnote w:id="10">
    <w:p w14:paraId="0F114BA3" w14:textId="1380013F" w:rsidR="000859F6" w:rsidRPr="000859F6" w:rsidRDefault="000859F6">
      <w:pPr>
        <w:pStyle w:val="FootnoteText"/>
        <w:rPr>
          <w:lang w:val="en-GB"/>
        </w:rPr>
      </w:pPr>
      <w:r>
        <w:rPr>
          <w:rStyle w:val="FootnoteReference"/>
        </w:rPr>
        <w:footnoteRef/>
      </w:r>
      <w:r>
        <w:t xml:space="preserve"> Clement of Alexandria, </w:t>
      </w:r>
      <w:r>
        <w:rPr>
          <w:i/>
          <w:iCs/>
          <w:szCs w:val="22"/>
        </w:rPr>
        <w:t>Strom</w:t>
      </w:r>
      <w:r>
        <w:rPr>
          <w:i/>
          <w:iCs/>
          <w:szCs w:val="22"/>
        </w:rPr>
        <w:t>ata</w:t>
      </w:r>
      <w:r>
        <w:rPr>
          <w:szCs w:val="22"/>
        </w:rPr>
        <w:t xml:space="preserve"> 8.3.7.2</w:t>
      </w:r>
      <w:r>
        <w:rPr>
          <w:szCs w:val="22"/>
        </w:rPr>
        <w:t>; translation in the series Ante-Nicene Fathers, vol. 2 (</w:t>
      </w:r>
      <w:r>
        <w:t xml:space="preserve">1887: </w:t>
      </w:r>
      <w:proofErr w:type="spellStart"/>
      <w:r>
        <w:t>repr</w:t>
      </w:r>
      <w:proofErr w:type="spellEnd"/>
      <w:r>
        <w:t>. Grand Rapids, Mich.: Eerdmans, 1989</w:t>
      </w:r>
      <w:r>
        <w:rPr>
          <w:szCs w:val="22"/>
        </w:rPr>
        <w:t>).</w:t>
      </w:r>
    </w:p>
  </w:footnote>
  <w:footnote w:id="11">
    <w:p w14:paraId="2A5566C2" w14:textId="532E20F7" w:rsidR="000859F6" w:rsidRPr="000859F6" w:rsidRDefault="000859F6" w:rsidP="000859F6">
      <w:pPr>
        <w:rPr>
          <w:sz w:val="20"/>
          <w:szCs w:val="20"/>
        </w:rPr>
      </w:pPr>
      <w:r w:rsidRPr="000859F6">
        <w:rPr>
          <w:rStyle w:val="FootnoteReference"/>
          <w:sz w:val="20"/>
          <w:szCs w:val="20"/>
        </w:rPr>
        <w:footnoteRef/>
      </w:r>
      <w:r w:rsidRPr="000859F6">
        <w:rPr>
          <w:sz w:val="20"/>
          <w:szCs w:val="20"/>
        </w:rPr>
        <w:t xml:space="preserve"> </w:t>
      </w:r>
      <w:r w:rsidRPr="000859F6">
        <w:rPr>
          <w:sz w:val="20"/>
          <w:szCs w:val="20"/>
          <w:lang w:val="en-GB"/>
        </w:rPr>
        <w:t xml:space="preserve">Aristotle, </w:t>
      </w:r>
      <w:r w:rsidRPr="000859F6">
        <w:rPr>
          <w:i/>
          <w:iCs/>
          <w:sz w:val="20"/>
          <w:szCs w:val="20"/>
          <w:lang w:val="en-GB"/>
        </w:rPr>
        <w:t>On the Soul</w:t>
      </w:r>
      <w:r w:rsidRPr="000859F6">
        <w:rPr>
          <w:sz w:val="20"/>
          <w:szCs w:val="20"/>
          <w:lang w:val="en-GB"/>
        </w:rPr>
        <w:t xml:space="preserve">, </w:t>
      </w:r>
      <w:r w:rsidRPr="000859F6">
        <w:rPr>
          <w:sz w:val="20"/>
          <w:szCs w:val="20"/>
          <w:lang w:val="en-GB"/>
        </w:rPr>
        <w:t>1.5</w:t>
      </w:r>
      <w:r w:rsidRPr="000859F6">
        <w:rPr>
          <w:sz w:val="20"/>
          <w:szCs w:val="20"/>
          <w:lang w:val="en-GB"/>
        </w:rPr>
        <w:t xml:space="preserve"> (</w:t>
      </w:r>
      <w:r w:rsidRPr="000859F6">
        <w:rPr>
          <w:sz w:val="20"/>
          <w:szCs w:val="20"/>
          <w:lang w:val="en-GB"/>
        </w:rPr>
        <w:t>411a5-7</w:t>
      </w:r>
      <w:r w:rsidRPr="000859F6">
        <w:rPr>
          <w:sz w:val="20"/>
          <w:szCs w:val="20"/>
          <w:lang w:val="en-GB"/>
        </w:rPr>
        <w:t>).</w:t>
      </w:r>
      <w:r w:rsidRPr="000859F6">
        <w:rPr>
          <w:sz w:val="20"/>
          <w:szCs w:val="20"/>
        </w:rPr>
        <w:t xml:space="preserve"> E</w:t>
      </w:r>
      <w:r w:rsidRPr="000859F6">
        <w:rPr>
          <w:sz w:val="20"/>
          <w:szCs w:val="20"/>
        </w:rPr>
        <w:t>d. and trans. W. S. Hett, LCL Aristotle, 8 (Cambridge, Mass.: Harvard University Press, 1936).</w:t>
      </w:r>
    </w:p>
  </w:footnote>
  <w:footnote w:id="12">
    <w:p w14:paraId="11C42AB6" w14:textId="2C652727" w:rsidR="00DF156E" w:rsidRPr="00A24697" w:rsidRDefault="00DF156E" w:rsidP="00A24697">
      <w:pPr>
        <w:pStyle w:val="FootnoteText"/>
      </w:pPr>
      <w:r>
        <w:rPr>
          <w:rStyle w:val="FootnoteReference"/>
        </w:rPr>
        <w:footnoteRef/>
      </w:r>
      <w:r>
        <w:t xml:space="preserve"> </w:t>
      </w:r>
      <w:r w:rsidR="00A24697">
        <w:t xml:space="preserve">E. Osborn, “Reason and the Rule of Faith in the Second Century AD,” in R. Williams ed., </w:t>
      </w:r>
      <w:r w:rsidR="00A24697">
        <w:rPr>
          <w:i/>
        </w:rPr>
        <w:t xml:space="preserve">The Making of Orthodoxy: Essays in </w:t>
      </w:r>
      <w:proofErr w:type="spellStart"/>
      <w:r w:rsidR="00A24697">
        <w:rPr>
          <w:i/>
        </w:rPr>
        <w:t>Honour</w:t>
      </w:r>
      <w:proofErr w:type="spellEnd"/>
      <w:r w:rsidR="00A24697">
        <w:rPr>
          <w:i/>
        </w:rPr>
        <w:t xml:space="preserve"> of Henry Chadwick</w:t>
      </w:r>
      <w:r w:rsidR="00A24697">
        <w:t xml:space="preserve"> (Cambridge: Cambridge University Press, 1989), 40-61.</w:t>
      </w:r>
    </w:p>
  </w:footnote>
  <w:footnote w:id="13">
    <w:p w14:paraId="2EA44E53" w14:textId="60D8142E" w:rsidR="000859F6" w:rsidRPr="000859F6" w:rsidRDefault="000859F6">
      <w:pPr>
        <w:pStyle w:val="FootnoteText"/>
        <w:rPr>
          <w:lang w:val="en-GB"/>
        </w:rPr>
      </w:pPr>
      <w:r>
        <w:rPr>
          <w:rStyle w:val="FootnoteReference"/>
        </w:rPr>
        <w:footnoteRef/>
      </w:r>
      <w:r>
        <w:t xml:space="preserve"> </w:t>
      </w:r>
      <w:r w:rsidRPr="00DD461B">
        <w:rPr>
          <w:szCs w:val="22"/>
          <w:lang w:val="en-GB"/>
        </w:rPr>
        <w:t xml:space="preserve">Eusebius, </w:t>
      </w:r>
      <w:r w:rsidRPr="00DD461B">
        <w:rPr>
          <w:i/>
          <w:iCs/>
          <w:szCs w:val="22"/>
          <w:lang w:val="en-GB"/>
        </w:rPr>
        <w:t>Life of Constantine</w:t>
      </w:r>
      <w:r w:rsidRPr="00DD461B">
        <w:rPr>
          <w:szCs w:val="22"/>
          <w:lang w:val="en-GB"/>
        </w:rPr>
        <w:t>, 69.1-2</w:t>
      </w:r>
      <w:r>
        <w:rPr>
          <w:szCs w:val="22"/>
          <w:lang w:val="en-GB"/>
        </w:rPr>
        <w:t>. Translated by Avril Cameron and Stuart G. Hall (Oxford: Clarendon Press, 1999).</w:t>
      </w:r>
    </w:p>
  </w:footnote>
  <w:footnote w:id="14">
    <w:p w14:paraId="432F767C" w14:textId="4422B511" w:rsidR="009841CE" w:rsidRPr="009841CE" w:rsidRDefault="009841CE">
      <w:pPr>
        <w:pStyle w:val="FootnoteText"/>
        <w:rPr>
          <w:lang w:val="en-GB"/>
        </w:rPr>
      </w:pPr>
      <w:r>
        <w:rPr>
          <w:rStyle w:val="FootnoteReference"/>
        </w:rPr>
        <w:footnoteRef/>
      </w:r>
      <w:r>
        <w:t xml:space="preserve"> </w:t>
      </w:r>
      <w:r>
        <w:rPr>
          <w:lang w:val="en-GB"/>
        </w:rPr>
        <w:t xml:space="preserve">David Bentley Hart, </w:t>
      </w:r>
      <w:proofErr w:type="gramStart"/>
      <w:r>
        <w:rPr>
          <w:i/>
          <w:iCs/>
          <w:lang w:val="en-GB"/>
        </w:rPr>
        <w:t>You</w:t>
      </w:r>
      <w:proofErr w:type="gramEnd"/>
      <w:r>
        <w:rPr>
          <w:i/>
          <w:iCs/>
          <w:lang w:val="en-GB"/>
        </w:rPr>
        <w:t xml:space="preserve"> are Gods: On Nature and Supernature</w:t>
      </w:r>
      <w:r>
        <w:rPr>
          <w:lang w:val="en-GB"/>
        </w:rPr>
        <w:t xml:space="preserve"> (Notre Dame, Indiana: Notre Dame University Press, 2022), and </w:t>
      </w:r>
      <w:r>
        <w:rPr>
          <w:i/>
          <w:iCs/>
          <w:lang w:val="en-GB"/>
        </w:rPr>
        <w:t>The Light of Tabor: Towards a Monistic Christology</w:t>
      </w:r>
      <w:r>
        <w:rPr>
          <w:lang w:val="en-GB"/>
        </w:rPr>
        <w:t xml:space="preserve"> </w:t>
      </w:r>
      <w:r>
        <w:rPr>
          <w:lang w:val="en-GB"/>
        </w:rPr>
        <w:t>(Notre Dame, Indiana: Notre Dame University Press, 202</w:t>
      </w:r>
      <w:r>
        <w:rPr>
          <w:lang w:val="en-GB"/>
        </w:rPr>
        <w:t>5</w:t>
      </w:r>
      <w:r>
        <w:rPr>
          <w:lang w:val="en-GB"/>
        </w:rPr>
        <w:t>)</w:t>
      </w:r>
      <w:r>
        <w:rPr>
          <w:lang w:val="en-GB"/>
        </w:rPr>
        <w:t>.</w:t>
      </w:r>
    </w:p>
  </w:footnote>
  <w:footnote w:id="15">
    <w:p w14:paraId="221766D7" w14:textId="5C5CC991" w:rsidR="009841CE" w:rsidRPr="009841CE" w:rsidRDefault="009841CE">
      <w:pPr>
        <w:pStyle w:val="FootnoteText"/>
        <w:rPr>
          <w:lang w:val="en-GB"/>
        </w:rPr>
      </w:pPr>
      <w:r>
        <w:rPr>
          <w:rStyle w:val="FootnoteReference"/>
        </w:rPr>
        <w:footnoteRef/>
      </w:r>
      <w:r>
        <w:t xml:space="preserve"> Hart, </w:t>
      </w:r>
      <w:r>
        <w:rPr>
          <w:i/>
          <w:iCs/>
          <w:lang w:val="en-GB"/>
        </w:rPr>
        <w:t>Tabor</w:t>
      </w:r>
      <w:r>
        <w:rPr>
          <w:lang w:val="en-GB"/>
        </w:rPr>
        <w:t>, 6.</w:t>
      </w:r>
    </w:p>
  </w:footnote>
  <w:footnote w:id="16">
    <w:p w14:paraId="1FD3DE77" w14:textId="22F504F9" w:rsidR="009841CE" w:rsidRPr="009841CE" w:rsidRDefault="009841CE">
      <w:pPr>
        <w:pStyle w:val="FootnoteText"/>
        <w:rPr>
          <w:lang w:val="en-GB"/>
        </w:rPr>
      </w:pPr>
      <w:r>
        <w:rPr>
          <w:rStyle w:val="FootnoteReference"/>
        </w:rPr>
        <w:footnoteRef/>
      </w:r>
      <w:r>
        <w:t xml:space="preserve"> Hart, </w:t>
      </w:r>
      <w:r>
        <w:rPr>
          <w:i/>
          <w:iCs/>
        </w:rPr>
        <w:t>Gods</w:t>
      </w:r>
      <w:r>
        <w:t>, 102–3.</w:t>
      </w:r>
    </w:p>
  </w:footnote>
  <w:footnote w:id="17">
    <w:p w14:paraId="3973E5EC" w14:textId="38268690" w:rsidR="009841CE" w:rsidRPr="009841CE" w:rsidRDefault="009841CE">
      <w:pPr>
        <w:pStyle w:val="FootnoteText"/>
        <w:rPr>
          <w:lang w:val="en-GB"/>
        </w:rPr>
      </w:pPr>
      <w:r>
        <w:rPr>
          <w:rStyle w:val="FootnoteReference"/>
        </w:rPr>
        <w:footnoteRef/>
      </w:r>
      <w:r>
        <w:t xml:space="preserve"> </w:t>
      </w:r>
      <w:r>
        <w:rPr>
          <w:lang w:val="en-GB"/>
        </w:rPr>
        <w:t xml:space="preserve">Hart, </w:t>
      </w:r>
      <w:r>
        <w:rPr>
          <w:i/>
          <w:iCs/>
          <w:lang w:val="en-GB"/>
        </w:rPr>
        <w:t>Tabor</w:t>
      </w:r>
      <w:r>
        <w:rPr>
          <w:lang w:val="en-GB"/>
        </w:rPr>
        <w:t>, 7–8.</w:t>
      </w:r>
    </w:p>
  </w:footnote>
  <w:footnote w:id="18">
    <w:p w14:paraId="3F06674C" w14:textId="56E69AFB" w:rsidR="009841CE" w:rsidRPr="009841CE" w:rsidRDefault="009841CE">
      <w:pPr>
        <w:pStyle w:val="FootnoteText"/>
        <w:rPr>
          <w:lang w:val="en-GB"/>
        </w:rPr>
      </w:pPr>
      <w:r>
        <w:rPr>
          <w:rStyle w:val="FootnoteReference"/>
        </w:rPr>
        <w:footnoteRef/>
      </w:r>
      <w:r>
        <w:t xml:space="preserve"> </w:t>
      </w:r>
      <w:r>
        <w:rPr>
          <w:lang w:val="en-GB"/>
        </w:rPr>
        <w:t xml:space="preserve">Hart, </w:t>
      </w:r>
      <w:r>
        <w:rPr>
          <w:i/>
          <w:iCs/>
          <w:lang w:val="en-GB"/>
        </w:rPr>
        <w:t>Tabor</w:t>
      </w:r>
      <w:r>
        <w:rPr>
          <w:lang w:val="en-GB"/>
        </w:rPr>
        <w:t>,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55454579"/>
      <w:docPartObj>
        <w:docPartGallery w:val="Page Numbers (Top of Page)"/>
        <w:docPartUnique/>
      </w:docPartObj>
    </w:sdtPr>
    <w:sdtContent>
      <w:p w14:paraId="11C22297" w14:textId="581BC27B" w:rsidR="00362928" w:rsidRDefault="00362928" w:rsidP="00006DD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6B77B8" w14:textId="77777777" w:rsidR="00362928" w:rsidRDefault="00362928" w:rsidP="0036292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4771425"/>
      <w:docPartObj>
        <w:docPartGallery w:val="Page Numbers (Top of Page)"/>
        <w:docPartUnique/>
      </w:docPartObj>
    </w:sdtPr>
    <w:sdtContent>
      <w:p w14:paraId="698DF446" w14:textId="05D2AE37" w:rsidR="00362928" w:rsidRDefault="00362928" w:rsidP="00006DD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5232F68" w14:textId="77777777" w:rsidR="00362928" w:rsidRDefault="00362928" w:rsidP="00362928">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C16"/>
    <w:rsid w:val="00033F72"/>
    <w:rsid w:val="00072EE1"/>
    <w:rsid w:val="000859F6"/>
    <w:rsid w:val="000B5731"/>
    <w:rsid w:val="00116FAB"/>
    <w:rsid w:val="00136F1D"/>
    <w:rsid w:val="00141149"/>
    <w:rsid w:val="00142C2E"/>
    <w:rsid w:val="001855BD"/>
    <w:rsid w:val="001D3718"/>
    <w:rsid w:val="001D746C"/>
    <w:rsid w:val="00235421"/>
    <w:rsid w:val="0023565B"/>
    <w:rsid w:val="00237127"/>
    <w:rsid w:val="00261163"/>
    <w:rsid w:val="00277EB9"/>
    <w:rsid w:val="00281E38"/>
    <w:rsid w:val="00287D90"/>
    <w:rsid w:val="002B3F11"/>
    <w:rsid w:val="002E589D"/>
    <w:rsid w:val="00303C84"/>
    <w:rsid w:val="00317B25"/>
    <w:rsid w:val="0033451E"/>
    <w:rsid w:val="00352E9F"/>
    <w:rsid w:val="00360F90"/>
    <w:rsid w:val="00362928"/>
    <w:rsid w:val="00377495"/>
    <w:rsid w:val="003C348B"/>
    <w:rsid w:val="003D2F94"/>
    <w:rsid w:val="003F7DA8"/>
    <w:rsid w:val="00414B1F"/>
    <w:rsid w:val="0046597C"/>
    <w:rsid w:val="00496707"/>
    <w:rsid w:val="004F550B"/>
    <w:rsid w:val="004F6650"/>
    <w:rsid w:val="005140FE"/>
    <w:rsid w:val="005351E3"/>
    <w:rsid w:val="0053739A"/>
    <w:rsid w:val="00551F72"/>
    <w:rsid w:val="005C07F6"/>
    <w:rsid w:val="005E228B"/>
    <w:rsid w:val="00613B71"/>
    <w:rsid w:val="00617611"/>
    <w:rsid w:val="00627D44"/>
    <w:rsid w:val="006925D9"/>
    <w:rsid w:val="006A5DED"/>
    <w:rsid w:val="006B0980"/>
    <w:rsid w:val="006B0B05"/>
    <w:rsid w:val="006D1A37"/>
    <w:rsid w:val="006F30B0"/>
    <w:rsid w:val="007263BB"/>
    <w:rsid w:val="007405D4"/>
    <w:rsid w:val="007678FA"/>
    <w:rsid w:val="007824FA"/>
    <w:rsid w:val="007B262B"/>
    <w:rsid w:val="007C5AF0"/>
    <w:rsid w:val="007D61EC"/>
    <w:rsid w:val="00802D98"/>
    <w:rsid w:val="0082399D"/>
    <w:rsid w:val="00841214"/>
    <w:rsid w:val="00867E65"/>
    <w:rsid w:val="00891FF3"/>
    <w:rsid w:val="008D17AE"/>
    <w:rsid w:val="008F02D4"/>
    <w:rsid w:val="00914544"/>
    <w:rsid w:val="009624FD"/>
    <w:rsid w:val="00964C4F"/>
    <w:rsid w:val="009841CE"/>
    <w:rsid w:val="009A204A"/>
    <w:rsid w:val="00A24697"/>
    <w:rsid w:val="00A3788A"/>
    <w:rsid w:val="00A505D4"/>
    <w:rsid w:val="00A81A14"/>
    <w:rsid w:val="00AB650D"/>
    <w:rsid w:val="00AD4861"/>
    <w:rsid w:val="00B03094"/>
    <w:rsid w:val="00B07A81"/>
    <w:rsid w:val="00B5204B"/>
    <w:rsid w:val="00B83D78"/>
    <w:rsid w:val="00B97971"/>
    <w:rsid w:val="00BB1A90"/>
    <w:rsid w:val="00BF4B56"/>
    <w:rsid w:val="00BF78FC"/>
    <w:rsid w:val="00C55676"/>
    <w:rsid w:val="00C74A79"/>
    <w:rsid w:val="00CA580B"/>
    <w:rsid w:val="00D024BC"/>
    <w:rsid w:val="00D07B87"/>
    <w:rsid w:val="00D21E41"/>
    <w:rsid w:val="00D524CF"/>
    <w:rsid w:val="00D665BE"/>
    <w:rsid w:val="00D75F9A"/>
    <w:rsid w:val="00D85B00"/>
    <w:rsid w:val="00DC03D2"/>
    <w:rsid w:val="00DC58E3"/>
    <w:rsid w:val="00DF156E"/>
    <w:rsid w:val="00DF568D"/>
    <w:rsid w:val="00E02525"/>
    <w:rsid w:val="00E36E31"/>
    <w:rsid w:val="00EA64B8"/>
    <w:rsid w:val="00EC72EC"/>
    <w:rsid w:val="00EF3C16"/>
    <w:rsid w:val="00F021D4"/>
    <w:rsid w:val="00F1383B"/>
    <w:rsid w:val="00F25BC7"/>
    <w:rsid w:val="00F54785"/>
    <w:rsid w:val="00FB09B7"/>
    <w:rsid w:val="00FD238E"/>
    <w:rsid w:val="00FD72E7"/>
    <w:rsid w:val="00FE3E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5298D"/>
  <w14:defaultImageDpi w14:val="32767"/>
  <w15:chartTrackingRefBased/>
  <w15:docId w15:val="{B151B36C-2323-F94C-A895-3BD1E2A81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C58E3"/>
    <w:rPr>
      <w:rFonts w:ascii="Times New Roman" w:eastAsiaTheme="minorEastAsia" w:hAnsi="Times New Roman"/>
      <w:sz w:val="22"/>
    </w:rPr>
  </w:style>
  <w:style w:type="paragraph" w:styleId="Heading1">
    <w:name w:val="heading 1"/>
    <w:basedOn w:val="Normal"/>
    <w:next w:val="Normal"/>
    <w:link w:val="Heading1Char"/>
    <w:uiPriority w:val="9"/>
    <w:qFormat/>
    <w:rsid w:val="00DC58E3"/>
    <w:pPr>
      <w:spacing w:line="360" w:lineRule="auto"/>
      <w:jc w:val="center"/>
      <w:outlineLvl w:val="0"/>
    </w:pPr>
    <w:rPr>
      <w:b/>
    </w:rPr>
  </w:style>
  <w:style w:type="paragraph" w:styleId="Heading2">
    <w:name w:val="heading 2"/>
    <w:basedOn w:val="Heading1"/>
    <w:next w:val="Normal"/>
    <w:link w:val="Heading2Char"/>
    <w:uiPriority w:val="9"/>
    <w:unhideWhenUsed/>
    <w:qFormat/>
    <w:rsid w:val="00DC58E3"/>
    <w:pPr>
      <w:jc w:val="left"/>
      <w:outlineLvl w:val="1"/>
    </w:pPr>
  </w:style>
  <w:style w:type="paragraph" w:styleId="Heading3">
    <w:name w:val="heading 3"/>
    <w:basedOn w:val="Heading2"/>
    <w:next w:val="Normal"/>
    <w:link w:val="Heading3Char"/>
    <w:uiPriority w:val="9"/>
    <w:unhideWhenUsed/>
    <w:qFormat/>
    <w:rsid w:val="00841214"/>
    <w:pPr>
      <w:spacing w:line="240" w:lineRule="auto"/>
      <w:outlineLvl w:val="2"/>
    </w:pPr>
    <w:rPr>
      <w:i/>
    </w:rPr>
  </w:style>
  <w:style w:type="paragraph" w:styleId="Heading4">
    <w:name w:val="heading 4"/>
    <w:basedOn w:val="Normal"/>
    <w:next w:val="Normal"/>
    <w:link w:val="Heading4Char"/>
    <w:uiPriority w:val="9"/>
    <w:semiHidden/>
    <w:unhideWhenUsed/>
    <w:qFormat/>
    <w:rsid w:val="00DC58E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Footer"/>
    <w:link w:val="HeaderChar"/>
    <w:uiPriority w:val="99"/>
    <w:unhideWhenUsed/>
    <w:qFormat/>
    <w:rsid w:val="00DC58E3"/>
  </w:style>
  <w:style w:type="character" w:customStyle="1" w:styleId="HeaderChar">
    <w:name w:val="Header Char"/>
    <w:basedOn w:val="DefaultParagraphFont"/>
    <w:link w:val="Header"/>
    <w:uiPriority w:val="99"/>
    <w:rsid w:val="00DC58E3"/>
    <w:rPr>
      <w:rFonts w:ascii="Times New Roman" w:hAnsi="Times New Roman"/>
      <w:sz w:val="22"/>
    </w:rPr>
  </w:style>
  <w:style w:type="paragraph" w:styleId="Footer">
    <w:name w:val="footer"/>
    <w:basedOn w:val="ListParagraph"/>
    <w:link w:val="FooterChar"/>
    <w:uiPriority w:val="99"/>
    <w:unhideWhenUsed/>
    <w:qFormat/>
    <w:rsid w:val="008F02D4"/>
    <w:rPr>
      <w:i w:val="0"/>
    </w:rPr>
  </w:style>
  <w:style w:type="character" w:customStyle="1" w:styleId="FooterChar">
    <w:name w:val="Footer Char"/>
    <w:basedOn w:val="DefaultParagraphFont"/>
    <w:link w:val="Footer"/>
    <w:uiPriority w:val="99"/>
    <w:rsid w:val="008F02D4"/>
    <w:rPr>
      <w:rFonts w:ascii="Times New Roman" w:hAnsi="Times New Roman"/>
      <w:sz w:val="22"/>
    </w:rPr>
  </w:style>
  <w:style w:type="character" w:styleId="PageNumber">
    <w:name w:val="page number"/>
    <w:basedOn w:val="DefaultParagraphFont"/>
    <w:uiPriority w:val="99"/>
    <w:semiHidden/>
    <w:unhideWhenUsed/>
    <w:rsid w:val="004F550B"/>
  </w:style>
  <w:style w:type="character" w:customStyle="1" w:styleId="Heading1Char">
    <w:name w:val="Heading 1 Char"/>
    <w:basedOn w:val="DefaultParagraphFont"/>
    <w:link w:val="Heading1"/>
    <w:uiPriority w:val="9"/>
    <w:rsid w:val="00DC58E3"/>
    <w:rPr>
      <w:rFonts w:ascii="Times New Roman" w:hAnsi="Times New Roman"/>
      <w:b/>
      <w:sz w:val="22"/>
    </w:rPr>
  </w:style>
  <w:style w:type="character" w:customStyle="1" w:styleId="Heading2Char">
    <w:name w:val="Heading 2 Char"/>
    <w:basedOn w:val="DefaultParagraphFont"/>
    <w:link w:val="Heading2"/>
    <w:uiPriority w:val="9"/>
    <w:rsid w:val="00DC58E3"/>
    <w:rPr>
      <w:rFonts w:ascii="Times New Roman" w:hAnsi="Times New Roman"/>
      <w:b/>
      <w:sz w:val="22"/>
    </w:rPr>
  </w:style>
  <w:style w:type="character" w:customStyle="1" w:styleId="Heading3Char">
    <w:name w:val="Heading 3 Char"/>
    <w:basedOn w:val="DefaultParagraphFont"/>
    <w:link w:val="Heading3"/>
    <w:uiPriority w:val="9"/>
    <w:rsid w:val="00841214"/>
    <w:rPr>
      <w:rFonts w:ascii="Times New Roman" w:hAnsi="Times New Roman"/>
      <w:b/>
      <w:i/>
      <w:sz w:val="22"/>
    </w:rPr>
  </w:style>
  <w:style w:type="paragraph" w:styleId="Title">
    <w:name w:val="Title"/>
    <w:basedOn w:val="Heading3"/>
    <w:next w:val="Normal"/>
    <w:link w:val="TitleChar"/>
    <w:uiPriority w:val="10"/>
    <w:qFormat/>
    <w:rsid w:val="00DC58E3"/>
  </w:style>
  <w:style w:type="character" w:customStyle="1" w:styleId="TitleChar">
    <w:name w:val="Title Char"/>
    <w:basedOn w:val="DefaultParagraphFont"/>
    <w:link w:val="Title"/>
    <w:uiPriority w:val="10"/>
    <w:rsid w:val="00DC58E3"/>
    <w:rPr>
      <w:rFonts w:ascii="Times New Roman" w:hAnsi="Times New Roman"/>
      <w:sz w:val="22"/>
    </w:rPr>
  </w:style>
  <w:style w:type="paragraph" w:styleId="Subtitle">
    <w:name w:val="Subtitle"/>
    <w:basedOn w:val="Title"/>
    <w:next w:val="Normal"/>
    <w:link w:val="SubtitleChar"/>
    <w:uiPriority w:val="11"/>
    <w:qFormat/>
    <w:rsid w:val="00DC58E3"/>
  </w:style>
  <w:style w:type="character" w:customStyle="1" w:styleId="SubtitleChar">
    <w:name w:val="Subtitle Char"/>
    <w:basedOn w:val="DefaultParagraphFont"/>
    <w:link w:val="Subtitle"/>
    <w:uiPriority w:val="11"/>
    <w:rsid w:val="00DC58E3"/>
    <w:rPr>
      <w:rFonts w:ascii="Times New Roman" w:hAnsi="Times New Roman"/>
      <w:sz w:val="22"/>
    </w:rPr>
  </w:style>
  <w:style w:type="character" w:styleId="SubtleEmphasis">
    <w:name w:val="Subtle Emphasis"/>
    <w:uiPriority w:val="19"/>
    <w:qFormat/>
    <w:rsid w:val="00DC58E3"/>
  </w:style>
  <w:style w:type="character" w:styleId="Emphasis">
    <w:name w:val="Emphasis"/>
    <w:basedOn w:val="SubtleEmphasis"/>
    <w:uiPriority w:val="20"/>
    <w:qFormat/>
    <w:rsid w:val="00DC58E3"/>
  </w:style>
  <w:style w:type="character" w:styleId="IntenseEmphasis">
    <w:name w:val="Intense Emphasis"/>
    <w:basedOn w:val="Emphasis"/>
    <w:uiPriority w:val="21"/>
    <w:qFormat/>
    <w:rsid w:val="00DC58E3"/>
  </w:style>
  <w:style w:type="character" w:styleId="Strong">
    <w:name w:val="Strong"/>
    <w:basedOn w:val="IntenseEmphasis"/>
    <w:uiPriority w:val="22"/>
    <w:qFormat/>
    <w:rsid w:val="00DC58E3"/>
  </w:style>
  <w:style w:type="paragraph" w:styleId="Quote">
    <w:name w:val="Quote"/>
    <w:basedOn w:val="Subtitle"/>
    <w:next w:val="Normal"/>
    <w:link w:val="QuoteChar"/>
    <w:uiPriority w:val="29"/>
    <w:qFormat/>
    <w:rsid w:val="00DC58E3"/>
  </w:style>
  <w:style w:type="character" w:customStyle="1" w:styleId="QuoteChar">
    <w:name w:val="Quote Char"/>
    <w:basedOn w:val="DefaultParagraphFont"/>
    <w:link w:val="Quote"/>
    <w:uiPriority w:val="29"/>
    <w:rsid w:val="00DC58E3"/>
    <w:rPr>
      <w:rFonts w:ascii="Times New Roman" w:hAnsi="Times New Roman"/>
      <w:sz w:val="22"/>
    </w:rPr>
  </w:style>
  <w:style w:type="paragraph" w:styleId="IntenseQuote">
    <w:name w:val="Intense Quote"/>
    <w:basedOn w:val="Quote"/>
    <w:next w:val="Normal"/>
    <w:link w:val="IntenseQuoteChar"/>
    <w:uiPriority w:val="30"/>
    <w:qFormat/>
    <w:rsid w:val="00DC58E3"/>
  </w:style>
  <w:style w:type="character" w:customStyle="1" w:styleId="IntenseQuoteChar">
    <w:name w:val="Intense Quote Char"/>
    <w:basedOn w:val="DefaultParagraphFont"/>
    <w:link w:val="IntenseQuote"/>
    <w:uiPriority w:val="30"/>
    <w:rsid w:val="00DC58E3"/>
    <w:rPr>
      <w:rFonts w:ascii="Times New Roman" w:hAnsi="Times New Roman"/>
      <w:sz w:val="22"/>
    </w:rPr>
  </w:style>
  <w:style w:type="character" w:styleId="SubtleReference">
    <w:name w:val="Subtle Reference"/>
    <w:uiPriority w:val="31"/>
    <w:qFormat/>
    <w:rsid w:val="00DC58E3"/>
  </w:style>
  <w:style w:type="character" w:styleId="IntenseReference">
    <w:name w:val="Intense Reference"/>
    <w:basedOn w:val="SubtleReference"/>
    <w:uiPriority w:val="32"/>
    <w:qFormat/>
    <w:rsid w:val="00DC58E3"/>
  </w:style>
  <w:style w:type="character" w:styleId="BookTitle">
    <w:name w:val="Book Title"/>
    <w:basedOn w:val="IntenseReference"/>
    <w:uiPriority w:val="33"/>
    <w:qFormat/>
    <w:rsid w:val="00DC58E3"/>
  </w:style>
  <w:style w:type="paragraph" w:styleId="ListParagraph">
    <w:name w:val="List Paragraph"/>
    <w:basedOn w:val="IntenseQuote"/>
    <w:uiPriority w:val="34"/>
    <w:qFormat/>
    <w:rsid w:val="00DC58E3"/>
  </w:style>
  <w:style w:type="character" w:customStyle="1" w:styleId="Heading4Char">
    <w:name w:val="Heading 4 Char"/>
    <w:basedOn w:val="DefaultParagraphFont"/>
    <w:link w:val="Heading4"/>
    <w:uiPriority w:val="9"/>
    <w:semiHidden/>
    <w:rsid w:val="00DC58E3"/>
    <w:rPr>
      <w:rFonts w:asciiTheme="majorHAnsi" w:eastAsiaTheme="majorEastAsia" w:hAnsiTheme="majorHAnsi" w:cstheme="majorBidi"/>
      <w:i/>
      <w:iCs/>
      <w:color w:val="2F5496" w:themeColor="accent1" w:themeShade="BF"/>
      <w:sz w:val="22"/>
    </w:rPr>
  </w:style>
  <w:style w:type="paragraph" w:customStyle="1" w:styleId="Default">
    <w:name w:val="Default"/>
    <w:rsid w:val="00EF3C16"/>
    <w:pPr>
      <w:autoSpaceDE w:val="0"/>
      <w:autoSpaceDN w:val="0"/>
      <w:adjustRightInd w:val="0"/>
    </w:pPr>
    <w:rPr>
      <w:rFonts w:ascii="Cambria" w:hAnsi="Cambria" w:cs="Cambria"/>
      <w:color w:val="000000"/>
      <w:lang w:val="en-GB"/>
      <w14:ligatures w14:val="standardContextual"/>
    </w:rPr>
  </w:style>
  <w:style w:type="paragraph" w:styleId="FootnoteText">
    <w:name w:val="footnote text"/>
    <w:basedOn w:val="Normal"/>
    <w:link w:val="FootnoteTextChar"/>
    <w:rsid w:val="00362928"/>
    <w:rPr>
      <w:rFonts w:eastAsia="Times New Roman" w:cs="Times New Roman"/>
      <w:sz w:val="20"/>
      <w:szCs w:val="20"/>
    </w:rPr>
  </w:style>
  <w:style w:type="character" w:customStyle="1" w:styleId="FootnoteTextChar">
    <w:name w:val="Footnote Text Char"/>
    <w:basedOn w:val="DefaultParagraphFont"/>
    <w:link w:val="FootnoteText"/>
    <w:rsid w:val="00362928"/>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362928"/>
    <w:rPr>
      <w:vertAlign w:val="superscript"/>
    </w:rPr>
  </w:style>
  <w:style w:type="paragraph" w:styleId="BodyTextIndent">
    <w:name w:val="Body Text Indent"/>
    <w:basedOn w:val="Normal"/>
    <w:link w:val="BodyTextIndentChar"/>
    <w:uiPriority w:val="99"/>
    <w:semiHidden/>
    <w:unhideWhenUsed/>
    <w:rsid w:val="00362928"/>
    <w:pPr>
      <w:spacing w:after="120"/>
      <w:ind w:left="360"/>
    </w:pPr>
    <w:rPr>
      <w:rFonts w:eastAsia="Times New Roman" w:cs="Times New Roman"/>
      <w:sz w:val="24"/>
    </w:rPr>
  </w:style>
  <w:style w:type="character" w:customStyle="1" w:styleId="BodyTextIndentChar">
    <w:name w:val="Body Text Indent Char"/>
    <w:basedOn w:val="DefaultParagraphFont"/>
    <w:link w:val="BodyTextIndent"/>
    <w:uiPriority w:val="99"/>
    <w:semiHidden/>
    <w:rsid w:val="00362928"/>
    <w:rPr>
      <w:rFonts w:ascii="Times New Roman" w:eastAsia="Times New Roman" w:hAnsi="Times New Roman" w:cs="Times New Roman"/>
    </w:rPr>
  </w:style>
  <w:style w:type="paragraph" w:styleId="EndnoteText">
    <w:name w:val="endnote text"/>
    <w:basedOn w:val="Normal"/>
    <w:link w:val="EndnoteTextChar"/>
    <w:uiPriority w:val="99"/>
    <w:unhideWhenUsed/>
    <w:rsid w:val="00362928"/>
    <w:rPr>
      <w:rFonts w:eastAsiaTheme="minorHAnsi"/>
      <w:sz w:val="20"/>
    </w:rPr>
  </w:style>
  <w:style w:type="character" w:customStyle="1" w:styleId="EndnoteTextChar">
    <w:name w:val="Endnote Text Char"/>
    <w:basedOn w:val="DefaultParagraphFont"/>
    <w:link w:val="EndnoteText"/>
    <w:uiPriority w:val="99"/>
    <w:rsid w:val="00362928"/>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hnbehr/Library/Group%20Containers/UBF8T346G9.Office/User%20Content.localized/Templates.localized/NormalA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1E728C4A4536449C0F9A4D37452F81" ma:contentTypeVersion="12" ma:contentTypeDescription="Create a new document." ma:contentTypeScope="" ma:versionID="92a6116e3d0064afaf7133ab1dc5a47d">
  <xsd:schema xmlns:xsd="http://www.w3.org/2001/XMLSchema" xmlns:xs="http://www.w3.org/2001/XMLSchema" xmlns:p="http://schemas.microsoft.com/office/2006/metadata/properties" xmlns:ns2="bef196da-4196-4f5e-8551-3ec7a55961ce" xmlns:ns3="cf57d2a8-9c68-4e1a-aff2-be606fe4ec79" targetNamespace="http://schemas.microsoft.com/office/2006/metadata/properties" ma:root="true" ma:fieldsID="966f32dac6de872d30251092a9465929" ns2:_="" ns3:_="">
    <xsd:import namespace="bef196da-4196-4f5e-8551-3ec7a55961ce"/>
    <xsd:import namespace="cf57d2a8-9c68-4e1a-aff2-be606fe4e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196da-4196-4f5e-8551-3ec7a5596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f54479-5ff5-4fc5-a8de-c3e2854720a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57d2a8-9c68-4e1a-aff2-be606fe4ec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137ed74-4051-4af8-95ec-f8f283e5492b}" ma:internalName="TaxCatchAll" ma:showField="CatchAllData" ma:web="cf57d2a8-9c68-4e1a-aff2-be606fe4e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f196da-4196-4f5e-8551-3ec7a55961ce">
      <Terms xmlns="http://schemas.microsoft.com/office/infopath/2007/PartnerControls"/>
    </lcf76f155ced4ddcb4097134ff3c332f>
    <TaxCatchAll xmlns="cf57d2a8-9c68-4e1a-aff2-be606fe4ec79" xsi:nil="true"/>
  </documentManagement>
</p:properties>
</file>

<file path=customXml/itemProps1.xml><?xml version="1.0" encoding="utf-8"?>
<ds:datastoreItem xmlns:ds="http://schemas.openxmlformats.org/officeDocument/2006/customXml" ds:itemID="{7A1DC883-7476-4B5F-B290-98741D2FFDB1}"/>
</file>

<file path=customXml/itemProps2.xml><?xml version="1.0" encoding="utf-8"?>
<ds:datastoreItem xmlns:ds="http://schemas.openxmlformats.org/officeDocument/2006/customXml" ds:itemID="{DBD695C5-C9B8-49BA-99E5-3AA030CC5991}"/>
</file>

<file path=customXml/itemProps3.xml><?xml version="1.0" encoding="utf-8"?>
<ds:datastoreItem xmlns:ds="http://schemas.openxmlformats.org/officeDocument/2006/customXml" ds:itemID="{400F634E-D976-4DFE-AFB2-118D7E4C8064}"/>
</file>

<file path=docProps/app.xml><?xml version="1.0" encoding="utf-8"?>
<Properties xmlns="http://schemas.openxmlformats.org/officeDocument/2006/extended-properties" xmlns:vt="http://schemas.openxmlformats.org/officeDocument/2006/docPropsVTypes">
  <Template>NormalA4.dotm</Template>
  <TotalTime>51</TotalTime>
  <Pages>9</Pages>
  <Words>5655</Words>
  <Characters>32234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Behr</dc:creator>
  <cp:keywords/>
  <dc:description/>
  <cp:lastModifiedBy>Behr, John</cp:lastModifiedBy>
  <cp:revision>6</cp:revision>
  <cp:lastPrinted>2025-06-02T15:08:00Z</cp:lastPrinted>
  <dcterms:created xsi:type="dcterms:W3CDTF">2025-11-18T18:49:00Z</dcterms:created>
  <dcterms:modified xsi:type="dcterms:W3CDTF">2025-11-19T16:05:00Z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0x0101006B1E728C4A4536449C0F9A4D37452F81</vt:lpwstr>
  </property>
</Properties>
</file>