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7E66E7" w:rsidRPr="007E66E7" w14:paraId="2C6026DA" w14:textId="77777777" w:rsidTr="00815142">
        <w:trPr>
          <w:trHeight w:val="310"/>
        </w:trPr>
        <w:tc>
          <w:tcPr>
            <w:tcW w:w="10160" w:type="dxa"/>
            <w:shd w:val="clear" w:color="auto" w:fill="3B3838" w:themeFill="background2" w:themeFillShade="40"/>
          </w:tcPr>
          <w:p w14:paraId="26EEA5EC" w14:textId="77777777" w:rsidR="007E66E7" w:rsidRPr="007E66E7" w:rsidRDefault="007E66E7" w:rsidP="007E66E7">
            <w:pPr>
              <w:spacing w:after="0" w:line="240" w:lineRule="auto"/>
              <w:rPr>
                <w:rFonts w:eastAsia="Times New Roman" w:cs="Times New Roman"/>
                <w:b/>
                <w:noProof w:val="0"/>
                <w:sz w:val="24"/>
                <w:szCs w:val="24"/>
              </w:rPr>
            </w:pPr>
            <w:r w:rsidRPr="007E66E7">
              <w:rPr>
                <w:rFonts w:eastAsia="Times New Roman" w:cs="Times New Roman"/>
                <w:b/>
                <w:noProof w:val="0"/>
                <w:color w:val="FFFFFF" w:themeColor="background1"/>
                <w:sz w:val="24"/>
                <w:szCs w:val="24"/>
              </w:rPr>
              <w:t>Section A</w:t>
            </w:r>
          </w:p>
        </w:tc>
      </w:tr>
    </w:tbl>
    <w:p w14:paraId="7FBF440C" w14:textId="38391CB8" w:rsidR="007E66E7" w:rsidRPr="007E66E7" w:rsidRDefault="007E66E7" w:rsidP="007E66E7">
      <w:pPr>
        <w:spacing w:before="120" w:after="0" w:line="240" w:lineRule="auto"/>
        <w:rPr>
          <w:rFonts w:eastAsia="Times New Roman" w:cs="Times New Roman"/>
          <w:noProof w:val="0"/>
          <w:color w:val="3B3838" w:themeColor="background2" w:themeShade="40"/>
        </w:rPr>
        <w:sectPr w:rsidR="007E66E7" w:rsidRPr="007E66E7" w:rsidSect="007E66E7">
          <w:headerReference w:type="default" r:id="rId7"/>
          <w:pgSz w:w="11906" w:h="16838" w:code="9"/>
          <w:pgMar w:top="567" w:right="510" w:bottom="567" w:left="1021" w:header="567" w:footer="567" w:gutter="0"/>
          <w:cols w:space="708"/>
          <w:docGrid w:linePitch="360"/>
        </w:sectPr>
      </w:pPr>
      <w:r w:rsidRPr="007E66E7">
        <w:rPr>
          <w:rFonts w:eastAsia="Times New Roman" w:cs="Times New Roman"/>
          <w:noProof w:val="0"/>
          <w:color w:val="3B3838" w:themeColor="background2" w:themeShade="40"/>
        </w:rPr>
        <w:t>This is my report to the Parochial Church Council of the Ecclesiastical Parish (PCC) of St Jude, Chicheston, on the annual report for the year ended 31</w:t>
      </w:r>
      <w:r w:rsidRPr="007E66E7">
        <w:rPr>
          <w:rFonts w:eastAsia="Times New Roman" w:cs="Times New Roman"/>
          <w:noProof w:val="0"/>
          <w:color w:val="3B3838" w:themeColor="background2" w:themeShade="40"/>
          <w:vertAlign w:val="superscript"/>
        </w:rPr>
        <w:t>st</w:t>
      </w:r>
      <w:r w:rsidR="00C3799A">
        <w:rPr>
          <w:rFonts w:eastAsia="Times New Roman" w:cs="Times New Roman"/>
          <w:noProof w:val="0"/>
          <w:color w:val="3B3838" w:themeColor="background2" w:themeShade="40"/>
        </w:rPr>
        <w:t xml:space="preserve"> December 20</w:t>
      </w:r>
      <w:r w:rsidR="001700DB">
        <w:rPr>
          <w:rFonts w:eastAsia="Times New Roman" w:cs="Times New Roman"/>
          <w:noProof w:val="0"/>
          <w:color w:val="3B3838" w:themeColor="background2" w:themeShade="40"/>
        </w:rPr>
        <w:t>20</w:t>
      </w:r>
      <w:r w:rsidRPr="007E66E7">
        <w:rPr>
          <w:rFonts w:eastAsia="Times New Roman" w:cs="Times New Roman"/>
          <w:noProof w:val="0"/>
          <w:color w:val="3B3838" w:themeColor="background2" w:themeShade="40"/>
        </w:rPr>
        <w:t xml:space="preserve"> set out on pages X to Y</w:t>
      </w:r>
    </w:p>
    <w:p w14:paraId="67A26BCE"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5D0EA9F5" w14:textId="77777777" w:rsidR="007E66E7" w:rsidRPr="007E66E7" w:rsidRDefault="007E66E7" w:rsidP="007E66E7">
      <w:pPr>
        <w:spacing w:after="0" w:line="240" w:lineRule="auto"/>
        <w:rPr>
          <w:rFonts w:eastAsia="Times New Roman" w:cs="Times New Roman"/>
          <w:b/>
          <w:noProof w:val="0"/>
          <w:color w:val="3B3838" w:themeColor="background2" w:themeShade="40"/>
        </w:rPr>
        <w:sectPr w:rsidR="007E66E7" w:rsidRPr="007E66E7" w:rsidSect="007E66E7">
          <w:type w:val="continuous"/>
          <w:pgSz w:w="11906" w:h="16838" w:code="9"/>
          <w:pgMar w:top="567" w:right="510" w:bottom="567" w:left="1021" w:header="567" w:footer="567" w:gutter="0"/>
          <w:cols w:num="2" w:space="1134" w:equalWidth="0">
            <w:col w:w="2267" w:space="1134"/>
            <w:col w:w="6974"/>
          </w:cols>
          <w:docGrid w:linePitch="360"/>
        </w:sectPr>
      </w:pPr>
    </w:p>
    <w:p w14:paraId="169AF9F8"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Respective responsibilities of trustees and examiner</w:t>
      </w:r>
    </w:p>
    <w:p w14:paraId="52744A07"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5248CB74"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DB203F8"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14F3156" w14:textId="77777777" w:rsidR="007E66E7" w:rsidRDefault="007E66E7" w:rsidP="007E66E7">
      <w:pPr>
        <w:spacing w:after="0" w:line="240" w:lineRule="auto"/>
        <w:rPr>
          <w:rFonts w:eastAsia="Times New Roman" w:cs="Times New Roman"/>
          <w:noProof w:val="0"/>
          <w:color w:val="3B3838" w:themeColor="background2" w:themeShade="40"/>
        </w:rPr>
      </w:pPr>
    </w:p>
    <w:p w14:paraId="16248DD5" w14:textId="77777777" w:rsidR="005A729B" w:rsidRPr="007E66E7" w:rsidRDefault="005A729B" w:rsidP="007E66E7">
      <w:pPr>
        <w:spacing w:after="0" w:line="240" w:lineRule="auto"/>
        <w:rPr>
          <w:rFonts w:eastAsia="Times New Roman" w:cs="Times New Roman"/>
          <w:noProof w:val="0"/>
          <w:color w:val="3B3838" w:themeColor="background2" w:themeShade="40"/>
        </w:rPr>
      </w:pPr>
    </w:p>
    <w:p w14:paraId="1361D2D6"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AE226E6"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0FB0026"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78418D4A"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Basis of independent examiner’s statement</w:t>
      </w:r>
    </w:p>
    <w:p w14:paraId="05D647C6"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088C1C06"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021BC24A"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7DF93585"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5C8728B3"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83155D6"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7B6C16B"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926F512"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r w:rsidRPr="007E66E7">
        <w:rPr>
          <w:rFonts w:eastAsia="Times New Roman" w:cs="Times New Roman"/>
          <w:noProof w:val="0"/>
          <w:color w:val="3B3838" w:themeColor="background2" w:themeShade="40"/>
        </w:rPr>
        <w:tab/>
      </w:r>
      <w:r w:rsidRPr="007E66E7">
        <w:rPr>
          <w:rFonts w:eastAsia="Times New Roman" w:cs="Times New Roman"/>
          <w:b/>
          <w:noProof w:val="0"/>
          <w:color w:val="3B3838" w:themeColor="background2" w:themeShade="40"/>
        </w:rPr>
        <w:t>Independent examiner's statement</w:t>
      </w:r>
    </w:p>
    <w:p w14:paraId="56948D27"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1BF7F44D"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1263ED5D"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1E95D5E4"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753B3BC8"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7C714B15"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15A6655"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4148E8B"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3AD1ECC"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638349B4"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3EAF772D"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6C7BCBB1"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Examiner’s signature</w:t>
      </w:r>
    </w:p>
    <w:p w14:paraId="6442370A"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p>
    <w:p w14:paraId="5B4670A5" w14:textId="77777777" w:rsidR="007E66E7" w:rsidRPr="007E66E7" w:rsidRDefault="007E66E7" w:rsidP="007E66E7">
      <w:pPr>
        <w:spacing w:after="0" w:line="240" w:lineRule="auto"/>
        <w:jc w:val="right"/>
        <w:rPr>
          <w:rFonts w:eastAsia="Times New Roman" w:cs="Times New Roman"/>
          <w:noProof w:val="0"/>
          <w:color w:val="3B3838" w:themeColor="background2" w:themeShade="40"/>
        </w:rPr>
      </w:pPr>
      <w:r w:rsidRPr="007E66E7">
        <w:rPr>
          <w:rFonts w:eastAsia="Times New Roman" w:cs="Times New Roman"/>
          <w:b/>
          <w:noProof w:val="0"/>
          <w:color w:val="3B3838" w:themeColor="background2" w:themeShade="40"/>
        </w:rPr>
        <w:t>Examiner’s name</w:t>
      </w:r>
      <w:r w:rsidRPr="007E66E7">
        <w:rPr>
          <w:rFonts w:eastAsia="Times New Roman" w:cs="Times New Roman"/>
          <w:noProof w:val="0"/>
          <w:color w:val="3B3838" w:themeColor="background2" w:themeShade="40"/>
        </w:rPr>
        <w:t xml:space="preserve"> </w:t>
      </w:r>
      <w:r w:rsidRPr="007E66E7">
        <w:rPr>
          <w:rFonts w:asciiTheme="majorHAnsi" w:eastAsia="Times New Roman" w:hAnsiTheme="majorHAnsi" w:cs="Times New Roman"/>
          <w:i/>
          <w:noProof w:val="0"/>
          <w:color w:val="3B3838" w:themeColor="background2" w:themeShade="40"/>
          <w:sz w:val="16"/>
          <w:szCs w:val="16"/>
        </w:rPr>
        <w:t>CAPITALS</w:t>
      </w:r>
    </w:p>
    <w:p w14:paraId="385C4701"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p>
    <w:p w14:paraId="471CBBC4"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Date</w:t>
      </w:r>
    </w:p>
    <w:p w14:paraId="345C3634" w14:textId="77777777" w:rsidR="007E66E7" w:rsidRPr="007E66E7" w:rsidRDefault="007E66E7" w:rsidP="007E66E7">
      <w:pPr>
        <w:spacing w:after="6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 xml:space="preserve">Relevant professional qualification(s) or body </w:t>
      </w:r>
      <w:r w:rsidRPr="007E66E7">
        <w:rPr>
          <w:rFonts w:eastAsia="Times New Roman" w:cs="Times New Roman"/>
          <w:i/>
          <w:noProof w:val="0"/>
          <w:color w:val="3B3838" w:themeColor="background2" w:themeShade="40"/>
          <w:sz w:val="18"/>
          <w:szCs w:val="18"/>
        </w:rPr>
        <w:t>if any</w:t>
      </w:r>
    </w:p>
    <w:p w14:paraId="5098473A" w14:textId="77777777" w:rsidR="007E66E7" w:rsidRPr="007E66E7" w:rsidRDefault="007E66E7" w:rsidP="007E66E7">
      <w:pPr>
        <w:spacing w:after="6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Examiner’s address</w:t>
      </w:r>
    </w:p>
    <w:p w14:paraId="7CF149D8" w14:textId="77777777" w:rsidR="006D0F15" w:rsidRDefault="006D0F15" w:rsidP="007E66E7">
      <w:pPr>
        <w:spacing w:after="0" w:line="240" w:lineRule="auto"/>
        <w:rPr>
          <w:rFonts w:eastAsia="Times New Roman" w:cs="Times New Roman"/>
          <w:noProof w:val="0"/>
          <w:color w:val="3B3838" w:themeColor="background2" w:themeShade="40"/>
        </w:rPr>
      </w:pPr>
    </w:p>
    <w:p w14:paraId="4FAAD223" w14:textId="77777777" w:rsidR="005A729B" w:rsidRDefault="005A729B" w:rsidP="007E66E7">
      <w:pPr>
        <w:spacing w:after="0" w:line="240" w:lineRule="auto"/>
        <w:rPr>
          <w:rFonts w:eastAsia="Times New Roman" w:cs="Times New Roman"/>
          <w:noProof w:val="0"/>
          <w:color w:val="3B3838" w:themeColor="background2" w:themeShade="40"/>
        </w:rPr>
      </w:pPr>
    </w:p>
    <w:p w14:paraId="674C6D7E" w14:textId="77777777" w:rsidR="005A729B" w:rsidRDefault="005A729B" w:rsidP="007E66E7">
      <w:pPr>
        <w:spacing w:after="0" w:line="240" w:lineRule="auto"/>
        <w:rPr>
          <w:rFonts w:eastAsia="Times New Roman" w:cs="Times New Roman"/>
          <w:noProof w:val="0"/>
          <w:color w:val="3B3838" w:themeColor="background2" w:themeShade="40"/>
        </w:rPr>
      </w:pPr>
    </w:p>
    <w:p w14:paraId="7A11605F" w14:textId="77777777" w:rsidR="005A729B" w:rsidRDefault="005A729B" w:rsidP="007E66E7">
      <w:pPr>
        <w:spacing w:after="0" w:line="240" w:lineRule="auto"/>
        <w:rPr>
          <w:rFonts w:eastAsia="Times New Roman" w:cs="Times New Roman"/>
          <w:noProof w:val="0"/>
          <w:color w:val="3B3838" w:themeColor="background2" w:themeShade="40"/>
        </w:rPr>
      </w:pPr>
    </w:p>
    <w:p w14:paraId="07AB2868" w14:textId="77777777" w:rsidR="005A729B" w:rsidRDefault="005A729B" w:rsidP="007E66E7">
      <w:pPr>
        <w:spacing w:after="0" w:line="240" w:lineRule="auto"/>
        <w:rPr>
          <w:rFonts w:eastAsia="Times New Roman" w:cs="Times New Roman"/>
          <w:noProof w:val="0"/>
          <w:color w:val="3B3838" w:themeColor="background2" w:themeShade="40"/>
        </w:rPr>
      </w:pPr>
    </w:p>
    <w:p w14:paraId="4C39D60D" w14:textId="77777777" w:rsid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The PCC members are responsib</w:t>
      </w:r>
      <w:bookmarkStart w:id="0" w:name="_GoBack"/>
      <w:bookmarkEnd w:id="0"/>
      <w:r w:rsidRPr="007E66E7">
        <w:rPr>
          <w:rFonts w:eastAsia="Times New Roman" w:cs="Times New Roman"/>
          <w:noProof w:val="0"/>
          <w:color w:val="3B3838" w:themeColor="background2" w:themeShade="40"/>
        </w:rPr>
        <w:t xml:space="preserve">le for the preparation of the annual reports. The PCC members consider that an audit is not required for this year under section 144 of the Charities Act 2011 (“the Charities Act”) and that an independent examination is needed.  </w:t>
      </w:r>
    </w:p>
    <w:p w14:paraId="61D59A5F" w14:textId="77777777" w:rsidR="005A729B" w:rsidRPr="007E66E7" w:rsidRDefault="005A729B" w:rsidP="007E66E7">
      <w:pPr>
        <w:spacing w:after="0" w:line="240" w:lineRule="auto"/>
        <w:rPr>
          <w:rFonts w:eastAsia="Times New Roman" w:cs="Times New Roman"/>
          <w:noProof w:val="0"/>
          <w:color w:val="3B3838" w:themeColor="background2" w:themeShade="40"/>
        </w:rPr>
      </w:pPr>
    </w:p>
    <w:p w14:paraId="5A900CB2"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 xml:space="preserve">It is my responsibility to: </w:t>
      </w:r>
    </w:p>
    <w:p w14:paraId="6343EEDD" w14:textId="77777777" w:rsidR="007E66E7" w:rsidRPr="007E66E7" w:rsidRDefault="007E66E7" w:rsidP="007E66E7">
      <w:pPr>
        <w:spacing w:after="0" w:line="240" w:lineRule="auto"/>
        <w:ind w:left="720" w:hanging="720"/>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1.</w:t>
      </w:r>
      <w:r w:rsidRPr="007E66E7">
        <w:rPr>
          <w:rFonts w:eastAsia="Times New Roman" w:cs="Times New Roman"/>
          <w:noProof w:val="0"/>
          <w:color w:val="3B3838" w:themeColor="background2" w:themeShade="40"/>
        </w:rPr>
        <w:tab/>
        <w:t xml:space="preserve">examine the accounts under section 145 of the Charities Act, </w:t>
      </w:r>
    </w:p>
    <w:p w14:paraId="402F8B32" w14:textId="77777777" w:rsidR="007E66E7" w:rsidRPr="007E66E7" w:rsidRDefault="007E66E7" w:rsidP="007E66E7">
      <w:pPr>
        <w:spacing w:after="0" w:line="240" w:lineRule="auto"/>
        <w:ind w:left="720" w:hanging="720"/>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2.</w:t>
      </w:r>
      <w:r w:rsidRPr="007E66E7">
        <w:rPr>
          <w:rFonts w:eastAsia="Times New Roman" w:cs="Times New Roman"/>
          <w:noProof w:val="0"/>
          <w:color w:val="3B3838" w:themeColor="background2" w:themeShade="40"/>
        </w:rPr>
        <w:tab/>
        <w:t xml:space="preserve">to follow the procedures laid down in the general Directions given by the Charity Commission (under section 145(5)(b) of the Charities Act, and </w:t>
      </w:r>
    </w:p>
    <w:p w14:paraId="7AFBE11D" w14:textId="77777777" w:rsidR="007E66E7" w:rsidRPr="007E66E7" w:rsidRDefault="007E66E7" w:rsidP="007E66E7">
      <w:pPr>
        <w:spacing w:after="0" w:line="240" w:lineRule="auto"/>
        <w:ind w:left="720" w:hanging="720"/>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3.</w:t>
      </w:r>
      <w:r w:rsidRPr="007E66E7">
        <w:rPr>
          <w:rFonts w:eastAsia="Times New Roman" w:cs="Times New Roman"/>
          <w:noProof w:val="0"/>
          <w:color w:val="3B3838" w:themeColor="background2" w:themeShade="40"/>
        </w:rPr>
        <w:tab/>
        <w:t>to state whether particular matters have come to my attention.</w:t>
      </w:r>
    </w:p>
    <w:p w14:paraId="2BF82194"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692CF0F9"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 xml:space="preserve">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w:t>
      </w:r>
      <w:proofErr w:type="gramStart"/>
      <w:r w:rsidRPr="007E66E7">
        <w:rPr>
          <w:rFonts w:eastAsia="Times New Roman" w:cs="Times New Roman"/>
          <w:noProof w:val="0"/>
          <w:color w:val="3B3838" w:themeColor="background2" w:themeShade="40"/>
        </w:rPr>
        <w:t>accounts, and</w:t>
      </w:r>
      <w:proofErr w:type="gramEnd"/>
      <w:r w:rsidRPr="007E66E7">
        <w:rPr>
          <w:rFonts w:eastAsia="Times New Roman" w:cs="Times New Roman"/>
          <w:noProof w:val="0"/>
          <w:color w:val="3B3838" w:themeColor="background2" w:themeShade="40"/>
        </w:rPr>
        <w:t xml:space="preserve"> seeking explanations from the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7C2561DC"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1283A38"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In connection with my examination, no matter has come to my attention (other than that disclosed below in Section B *)</w:t>
      </w:r>
    </w:p>
    <w:p w14:paraId="3F4E5594" w14:textId="77777777" w:rsidR="007E66E7" w:rsidRPr="007E66E7" w:rsidRDefault="007E66E7" w:rsidP="007E66E7">
      <w:pPr>
        <w:numPr>
          <w:ilvl w:val="0"/>
          <w:numId w:val="2"/>
        </w:numPr>
        <w:spacing w:after="0" w:line="240" w:lineRule="auto"/>
        <w:ind w:left="426" w:hanging="453"/>
        <w:contextualSpacing/>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which gives me reasonable cause to believe that in, any material respect, the requirements:</w:t>
      </w:r>
    </w:p>
    <w:p w14:paraId="3B35E36F" w14:textId="77777777" w:rsidR="007E66E7" w:rsidRPr="007E66E7" w:rsidRDefault="007E66E7" w:rsidP="007E66E7">
      <w:pPr>
        <w:numPr>
          <w:ilvl w:val="1"/>
          <w:numId w:val="1"/>
        </w:numPr>
        <w:spacing w:after="0" w:line="240" w:lineRule="auto"/>
        <w:ind w:left="1134" w:hanging="425"/>
        <w:contextualSpacing/>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 xml:space="preserve">to keep accounting records in accordance with section 130 of the Charities Act; and </w:t>
      </w:r>
    </w:p>
    <w:p w14:paraId="1D62FCE8" w14:textId="77777777" w:rsidR="007E66E7" w:rsidRPr="007E66E7" w:rsidRDefault="007E66E7" w:rsidP="007E66E7">
      <w:pPr>
        <w:numPr>
          <w:ilvl w:val="1"/>
          <w:numId w:val="1"/>
        </w:numPr>
        <w:spacing w:after="0" w:line="240" w:lineRule="auto"/>
        <w:ind w:left="1134" w:hanging="425"/>
        <w:contextualSpacing/>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to prepare accounts which accord with the accounting records and comply with the accounting requirements of the Charities Act</w:t>
      </w:r>
    </w:p>
    <w:p w14:paraId="798D131D" w14:textId="77777777" w:rsidR="007E66E7" w:rsidRPr="007E66E7" w:rsidRDefault="007E66E7" w:rsidP="007E66E7">
      <w:pPr>
        <w:spacing w:after="0" w:line="240" w:lineRule="auto"/>
        <w:ind w:left="360"/>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have not been met; or</w:t>
      </w:r>
    </w:p>
    <w:p w14:paraId="342340A3" w14:textId="77777777" w:rsidR="007E66E7" w:rsidRPr="007E66E7" w:rsidRDefault="007E66E7" w:rsidP="007E66E7">
      <w:pPr>
        <w:numPr>
          <w:ilvl w:val="0"/>
          <w:numId w:val="1"/>
        </w:numPr>
        <w:spacing w:after="0" w:line="240" w:lineRule="auto"/>
        <w:ind w:left="360"/>
        <w:contextualSpacing/>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to which, in my opinion, attention should be drawn in order to enable a proper understanding of the accounts to be reached.</w:t>
      </w:r>
    </w:p>
    <w:p w14:paraId="477385DB" w14:textId="77777777" w:rsidR="007E66E7" w:rsidRPr="007E66E7" w:rsidRDefault="007E66E7" w:rsidP="007E66E7">
      <w:pPr>
        <w:spacing w:after="0" w:line="240" w:lineRule="auto"/>
        <w:rPr>
          <w:rFonts w:eastAsia="Times New Roman" w:cs="Times New Roman"/>
          <w:i/>
          <w:noProof w:val="0"/>
          <w:color w:val="3B3838" w:themeColor="background2" w:themeShade="40"/>
        </w:rPr>
      </w:pPr>
      <w:r w:rsidRPr="007E66E7">
        <w:rPr>
          <w:rFonts w:eastAsia="Times New Roman" w:cs="Times New Roman"/>
          <w:i/>
          <w:noProof w:val="0"/>
          <w:color w:val="3B3838" w:themeColor="background2" w:themeShade="40"/>
        </w:rPr>
        <w:t>* Please delete the words in the (brackets) if they do not apply</w:t>
      </w:r>
    </w:p>
    <w:p w14:paraId="35E2F7D4"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5F4A4E9D"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t>
      </w:r>
    </w:p>
    <w:p w14:paraId="40B6CBA1"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3FAEBD39"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t>
      </w:r>
    </w:p>
    <w:p w14:paraId="2D9E1677"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4D09625"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t>
      </w:r>
    </w:p>
    <w:p w14:paraId="711CC4C8"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77B62776"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t>
      </w:r>
    </w:p>
    <w:p w14:paraId="2214CEFB"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1355496E"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t>
      </w:r>
    </w:p>
    <w:p w14:paraId="49EEB70F" w14:textId="77777777" w:rsidR="007E66E7" w:rsidRPr="007E66E7" w:rsidRDefault="007E66E7" w:rsidP="007E66E7">
      <w:pPr>
        <w:spacing w:after="0" w:line="240" w:lineRule="auto"/>
        <w:rPr>
          <w:rFonts w:eastAsia="Times New Roman" w:cs="Times New Roman"/>
          <w:noProof w:val="0"/>
          <w:color w:val="3B3838" w:themeColor="background2" w:themeShade="40"/>
        </w:rPr>
        <w:sectPr w:rsidR="007E66E7" w:rsidRPr="007E66E7" w:rsidSect="007E66E7">
          <w:type w:val="continuous"/>
          <w:pgSz w:w="11906" w:h="16838" w:code="9"/>
          <w:pgMar w:top="567" w:right="510" w:bottom="567" w:left="1021" w:header="567" w:footer="567" w:gutter="0"/>
          <w:cols w:num="2" w:space="397" w:equalWidth="0">
            <w:col w:w="2268" w:space="397"/>
            <w:col w:w="7710"/>
          </w:cols>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37"/>
        <w:gridCol w:w="7611"/>
      </w:tblGrid>
      <w:tr w:rsidR="007E66E7" w:rsidRPr="007E66E7" w14:paraId="00A762FD" w14:textId="77777777" w:rsidTr="00815142">
        <w:trPr>
          <w:cantSplit/>
        </w:trPr>
        <w:tc>
          <w:tcPr>
            <w:tcW w:w="10348" w:type="dxa"/>
            <w:gridSpan w:val="2"/>
            <w:tcBorders>
              <w:top w:val="nil"/>
              <w:left w:val="nil"/>
              <w:bottom w:val="nil"/>
              <w:right w:val="single" w:sz="4" w:space="0" w:color="auto"/>
            </w:tcBorders>
            <w:shd w:val="clear" w:color="auto" w:fill="000000"/>
            <w:vAlign w:val="center"/>
          </w:tcPr>
          <w:p w14:paraId="65F199D5" w14:textId="77777777" w:rsidR="007E66E7" w:rsidRPr="007E66E7" w:rsidRDefault="007E66E7" w:rsidP="007E66E7">
            <w:pPr>
              <w:keepNext/>
              <w:numPr>
                <w:ilvl w:val="12"/>
                <w:numId w:val="0"/>
              </w:numPr>
              <w:spacing w:before="60" w:after="60" w:line="240" w:lineRule="auto"/>
              <w:outlineLvl w:val="3"/>
              <w:rPr>
                <w:rFonts w:eastAsia="Times New Roman" w:cs="Arial"/>
                <w:b/>
                <w:noProof w:val="0"/>
                <w:color w:val="3B3838" w:themeColor="background2" w:themeShade="40"/>
                <w:sz w:val="24"/>
                <w:szCs w:val="24"/>
                <w:lang w:eastAsia="en-GB"/>
              </w:rPr>
            </w:pPr>
            <w:r w:rsidRPr="007E66E7">
              <w:rPr>
                <w:rFonts w:eastAsia="Times New Roman" w:cs="Arial"/>
                <w:b/>
                <w:noProof w:val="0"/>
                <w:color w:val="FFFFFF" w:themeColor="background1"/>
                <w:sz w:val="24"/>
                <w:szCs w:val="24"/>
                <w:lang w:eastAsia="en-GB"/>
              </w:rPr>
              <w:lastRenderedPageBreak/>
              <w:t xml:space="preserve">Section B                                 Disclosure </w:t>
            </w:r>
          </w:p>
        </w:tc>
      </w:tr>
      <w:tr w:rsidR="007E66E7" w:rsidRPr="007E66E7" w14:paraId="681D0724" w14:textId="77777777" w:rsidTr="00815142">
        <w:trPr>
          <w:cantSplit/>
          <w:trHeight w:val="2304"/>
        </w:trPr>
        <w:tc>
          <w:tcPr>
            <w:tcW w:w="2737" w:type="dxa"/>
            <w:tcBorders>
              <w:top w:val="nil"/>
              <w:left w:val="nil"/>
              <w:bottom w:val="nil"/>
              <w:right w:val="nil"/>
            </w:tcBorders>
            <w:vAlign w:val="center"/>
          </w:tcPr>
          <w:p w14:paraId="308D38E3" w14:textId="77777777" w:rsidR="007E66E7" w:rsidRPr="007E66E7" w:rsidRDefault="007E66E7" w:rsidP="007E66E7">
            <w:pPr>
              <w:numPr>
                <w:ilvl w:val="12"/>
                <w:numId w:val="0"/>
              </w:numPr>
              <w:spacing w:before="120" w:after="120" w:line="240" w:lineRule="auto"/>
              <w:ind w:right="-64"/>
              <w:jc w:val="right"/>
              <w:rPr>
                <w:rFonts w:ascii="Arial" w:eastAsia="Times New Roman" w:hAnsi="Arial" w:cs="Arial"/>
                <w:b/>
                <w:noProof w:val="0"/>
                <w:color w:val="3B3838" w:themeColor="background2" w:themeShade="40"/>
                <w:sz w:val="16"/>
                <w:szCs w:val="20"/>
                <w:lang w:eastAsia="en-GB"/>
              </w:rPr>
            </w:pPr>
          </w:p>
        </w:tc>
        <w:tc>
          <w:tcPr>
            <w:tcW w:w="7611" w:type="dxa"/>
            <w:tcBorders>
              <w:top w:val="nil"/>
              <w:left w:val="nil"/>
              <w:bottom w:val="nil"/>
              <w:right w:val="nil"/>
            </w:tcBorders>
          </w:tcPr>
          <w:p w14:paraId="34CC200D" w14:textId="77777777" w:rsidR="007E66E7" w:rsidRPr="007E66E7" w:rsidRDefault="007E66E7" w:rsidP="007E66E7">
            <w:pPr>
              <w:autoSpaceDE w:val="0"/>
              <w:autoSpaceDN w:val="0"/>
              <w:adjustRightInd w:val="0"/>
              <w:spacing w:after="0" w:line="240" w:lineRule="auto"/>
              <w:rPr>
                <w:rFonts w:asciiTheme="majorHAnsi" w:eastAsia="Times New Roman" w:hAnsiTheme="majorHAnsi" w:cs="Arial"/>
                <w:noProof w:val="0"/>
                <w:color w:val="3B3838" w:themeColor="background2" w:themeShade="40"/>
                <w:sz w:val="20"/>
                <w:szCs w:val="20"/>
                <w:lang w:eastAsia="en-GB"/>
              </w:rPr>
            </w:pPr>
            <w:r w:rsidRPr="007E66E7">
              <w:rPr>
                <w:rFonts w:eastAsia="Times New Roman" w:cs="Arial"/>
                <w:b/>
                <w:noProof w:val="0"/>
                <w:color w:val="3B3838" w:themeColor="background2" w:themeShade="40"/>
                <w:lang w:eastAsia="en-GB"/>
              </w:rPr>
              <w:t xml:space="preserve">Only complete if the examiner needs to highlight material </w:t>
            </w:r>
            <w:proofErr w:type="gramStart"/>
            <w:r w:rsidRPr="007E66E7">
              <w:rPr>
                <w:rFonts w:eastAsia="Times New Roman" w:cs="Arial"/>
                <w:b/>
                <w:noProof w:val="0"/>
                <w:color w:val="3B3838" w:themeColor="background2" w:themeShade="40"/>
                <w:lang w:eastAsia="en-GB"/>
              </w:rPr>
              <w:t xml:space="preserve">problems </w:t>
            </w:r>
            <w:r w:rsidRPr="007E66E7">
              <w:rPr>
                <w:rFonts w:eastAsia="Times New Roman" w:cs="Arial"/>
                <w:b/>
                <w:noProof w:val="0"/>
                <w:color w:val="3B3838" w:themeColor="background2" w:themeShade="40"/>
                <w:sz w:val="20"/>
                <w:szCs w:val="20"/>
                <w:lang w:eastAsia="en-GB"/>
              </w:rPr>
              <w:t xml:space="preserve"> </w:t>
            </w:r>
            <w:r w:rsidRPr="007E66E7">
              <w:rPr>
                <w:rFonts w:eastAsia="Times New Roman" w:cs="Arial"/>
                <w:i/>
                <w:noProof w:val="0"/>
                <w:color w:val="3B3838" w:themeColor="background2" w:themeShade="40"/>
                <w:sz w:val="18"/>
                <w:szCs w:val="18"/>
                <w:lang w:eastAsia="en-GB"/>
              </w:rPr>
              <w:t>f</w:t>
            </w:r>
            <w:r w:rsidRPr="007E66E7">
              <w:rPr>
                <w:rFonts w:asciiTheme="majorHAnsi" w:eastAsia="Times New Roman" w:hAnsiTheme="majorHAnsi" w:cs="Arial"/>
                <w:i/>
                <w:noProof w:val="0"/>
                <w:color w:val="3B3838" w:themeColor="background2" w:themeShade="40"/>
                <w:sz w:val="18"/>
                <w:szCs w:val="18"/>
                <w:lang w:eastAsia="en-GB"/>
              </w:rPr>
              <w:t>or</w:t>
            </w:r>
            <w:proofErr w:type="gramEnd"/>
            <w:r w:rsidRPr="007E66E7">
              <w:rPr>
                <w:rFonts w:asciiTheme="majorHAnsi" w:eastAsia="Times New Roman" w:hAnsiTheme="majorHAnsi" w:cs="Arial"/>
                <w:i/>
                <w:noProof w:val="0"/>
                <w:color w:val="3B3838" w:themeColor="background2" w:themeShade="40"/>
                <w:sz w:val="18"/>
                <w:szCs w:val="18"/>
                <w:lang w:eastAsia="en-GB"/>
              </w:rPr>
              <w:t xml:space="preserve"> example:</w:t>
            </w:r>
          </w:p>
          <w:p w14:paraId="15F671EC" w14:textId="77777777" w:rsidR="007E66E7" w:rsidRPr="007E66E7" w:rsidRDefault="007E66E7" w:rsidP="007E66E7">
            <w:pPr>
              <w:numPr>
                <w:ilvl w:val="0"/>
                <w:numId w:val="3"/>
              </w:numPr>
              <w:autoSpaceDE w:val="0"/>
              <w:autoSpaceDN w:val="0"/>
              <w:adjustRightInd w:val="0"/>
              <w:spacing w:after="0" w:line="240" w:lineRule="auto"/>
              <w:ind w:left="345"/>
              <w:rPr>
                <w:rFonts w:asciiTheme="majorHAnsi" w:eastAsia="Times New Roman" w:hAnsiTheme="majorHAnsi" w:cs="Arial"/>
                <w:noProof w:val="0"/>
                <w:color w:val="3B3838" w:themeColor="background2" w:themeShade="40"/>
                <w:sz w:val="20"/>
                <w:szCs w:val="24"/>
                <w:lang w:eastAsia="en-GB"/>
              </w:rPr>
            </w:pPr>
            <w:r w:rsidRPr="007E66E7">
              <w:rPr>
                <w:rFonts w:asciiTheme="majorHAnsi" w:eastAsia="Times New Roman" w:hAnsiTheme="majorHAnsi" w:cs="Arial"/>
                <w:noProof w:val="0"/>
                <w:color w:val="3B3838" w:themeColor="background2" w:themeShade="40"/>
                <w:sz w:val="20"/>
                <w:szCs w:val="20"/>
                <w:lang w:eastAsia="en-GB"/>
              </w:rPr>
              <w:t xml:space="preserve">accounting records </w:t>
            </w:r>
            <w:r w:rsidRPr="007E66E7">
              <w:rPr>
                <w:rFonts w:asciiTheme="majorHAnsi" w:eastAsia="Times New Roman" w:hAnsiTheme="majorHAnsi" w:cs="Arial"/>
                <w:noProof w:val="0"/>
                <w:color w:val="3B3838" w:themeColor="background2" w:themeShade="40"/>
                <w:sz w:val="20"/>
                <w:szCs w:val="24"/>
                <w:lang w:eastAsia="en-GB"/>
              </w:rPr>
              <w:t xml:space="preserve">have not been kept in accordance with s132 of the Charities’ Act 2011 and those accounts do not comply with the requirements of the 2008 Regulations setting out the form and content of charity accounts; </w:t>
            </w:r>
          </w:p>
          <w:p w14:paraId="2A7D28BD" w14:textId="77777777" w:rsidR="007E66E7" w:rsidRPr="007E66E7" w:rsidRDefault="007E66E7" w:rsidP="007E66E7">
            <w:pPr>
              <w:numPr>
                <w:ilvl w:val="0"/>
                <w:numId w:val="3"/>
              </w:numPr>
              <w:autoSpaceDE w:val="0"/>
              <w:autoSpaceDN w:val="0"/>
              <w:adjustRightInd w:val="0"/>
              <w:spacing w:after="0" w:line="240" w:lineRule="auto"/>
              <w:ind w:left="345"/>
              <w:rPr>
                <w:rFonts w:asciiTheme="majorHAnsi" w:eastAsia="Times New Roman" w:hAnsiTheme="majorHAnsi" w:cs="Arial"/>
                <w:noProof w:val="0"/>
                <w:color w:val="3B3838" w:themeColor="background2" w:themeShade="40"/>
                <w:sz w:val="20"/>
                <w:szCs w:val="24"/>
                <w:lang w:eastAsia="en-GB"/>
              </w:rPr>
            </w:pPr>
            <w:r w:rsidRPr="007E66E7">
              <w:rPr>
                <w:rFonts w:asciiTheme="majorHAnsi" w:eastAsia="Times New Roman" w:hAnsiTheme="majorHAnsi" w:cs="Arial"/>
                <w:noProof w:val="0"/>
                <w:color w:val="3B3838" w:themeColor="background2" w:themeShade="40"/>
                <w:sz w:val="20"/>
                <w:szCs w:val="24"/>
                <w:lang w:eastAsia="en-GB"/>
              </w:rPr>
              <w:t xml:space="preserve">any material expenditure or action which appears not to be in accordance with the trusts of the charity; </w:t>
            </w:r>
          </w:p>
          <w:p w14:paraId="1E90AD1F" w14:textId="77777777" w:rsidR="007E66E7" w:rsidRPr="007E66E7" w:rsidRDefault="007E66E7" w:rsidP="007E66E7">
            <w:pPr>
              <w:numPr>
                <w:ilvl w:val="0"/>
                <w:numId w:val="3"/>
              </w:numPr>
              <w:autoSpaceDE w:val="0"/>
              <w:autoSpaceDN w:val="0"/>
              <w:adjustRightInd w:val="0"/>
              <w:spacing w:after="0" w:line="240" w:lineRule="auto"/>
              <w:ind w:left="345"/>
              <w:rPr>
                <w:rFonts w:ascii="Dax-Light" w:eastAsia="Times New Roman" w:hAnsi="Dax-Light" w:cs="Arial"/>
                <w:noProof w:val="0"/>
                <w:color w:val="3B3838" w:themeColor="background2" w:themeShade="40"/>
                <w:sz w:val="20"/>
                <w:szCs w:val="20"/>
                <w:lang w:eastAsia="en-GB"/>
              </w:rPr>
            </w:pPr>
            <w:r w:rsidRPr="007E66E7">
              <w:rPr>
                <w:rFonts w:asciiTheme="majorHAnsi" w:eastAsia="Times New Roman" w:hAnsiTheme="majorHAnsi" w:cs="Arial"/>
                <w:noProof w:val="0"/>
                <w:color w:val="3B3838" w:themeColor="background2" w:themeShade="40"/>
                <w:sz w:val="20"/>
                <w:szCs w:val="24"/>
                <w:lang w:eastAsia="en-GB"/>
              </w:rPr>
              <w:t xml:space="preserve">any failure to be provided with information and explanations by any past or present trustee, officer or employee; and </w:t>
            </w:r>
          </w:p>
          <w:p w14:paraId="2F4E40E9" w14:textId="77777777" w:rsidR="007E66E7" w:rsidRPr="007E66E7" w:rsidRDefault="007E66E7" w:rsidP="007E66E7">
            <w:pPr>
              <w:numPr>
                <w:ilvl w:val="0"/>
                <w:numId w:val="3"/>
              </w:numPr>
              <w:autoSpaceDE w:val="0"/>
              <w:autoSpaceDN w:val="0"/>
              <w:adjustRightInd w:val="0"/>
              <w:spacing w:after="0" w:line="240" w:lineRule="auto"/>
              <w:ind w:left="345"/>
              <w:rPr>
                <w:rFonts w:ascii="Dax-Light" w:eastAsia="Times New Roman" w:hAnsi="Dax-Light" w:cs="Arial"/>
                <w:noProof w:val="0"/>
                <w:color w:val="3B3838" w:themeColor="background2" w:themeShade="40"/>
                <w:sz w:val="20"/>
                <w:szCs w:val="20"/>
                <w:lang w:eastAsia="en-GB"/>
              </w:rPr>
            </w:pPr>
            <w:r w:rsidRPr="007E66E7">
              <w:rPr>
                <w:rFonts w:asciiTheme="majorHAnsi" w:eastAsia="Times New Roman" w:hAnsiTheme="majorHAnsi" w:cs="Arial"/>
                <w:noProof w:val="0"/>
                <w:color w:val="3B3838" w:themeColor="background2" w:themeShade="40"/>
                <w:sz w:val="20"/>
                <w:szCs w:val="24"/>
                <w:lang w:eastAsia="en-GB"/>
              </w:rPr>
              <w:t>any material inconsistency between the accounts and the trustees’ annual report.</w:t>
            </w:r>
          </w:p>
        </w:tc>
      </w:tr>
      <w:tr w:rsidR="007E66E7" w:rsidRPr="007E66E7" w14:paraId="1CC9723B" w14:textId="77777777" w:rsidTr="00815142">
        <w:trPr>
          <w:cantSplit/>
          <w:trHeight w:val="9193"/>
        </w:trPr>
        <w:tc>
          <w:tcPr>
            <w:tcW w:w="2737" w:type="dxa"/>
            <w:tcBorders>
              <w:top w:val="nil"/>
              <w:left w:val="nil"/>
              <w:bottom w:val="nil"/>
              <w:right w:val="single" w:sz="4" w:space="0" w:color="auto"/>
            </w:tcBorders>
            <w:tcMar>
              <w:top w:w="57" w:type="dxa"/>
              <w:bottom w:w="57" w:type="dxa"/>
              <w:right w:w="57" w:type="dxa"/>
            </w:tcMar>
          </w:tcPr>
          <w:p w14:paraId="3CA7E621" w14:textId="77777777" w:rsidR="007E66E7" w:rsidRPr="007E66E7" w:rsidRDefault="007E66E7" w:rsidP="007E66E7">
            <w:pPr>
              <w:numPr>
                <w:ilvl w:val="12"/>
                <w:numId w:val="0"/>
              </w:numPr>
              <w:spacing w:after="0" w:line="240" w:lineRule="auto"/>
              <w:jc w:val="right"/>
              <w:rPr>
                <w:rFonts w:eastAsia="Times New Roman" w:cs="Arial"/>
                <w:noProof w:val="0"/>
                <w:color w:val="3B3838" w:themeColor="background2" w:themeShade="40"/>
                <w:lang w:eastAsia="en-GB"/>
              </w:rPr>
            </w:pPr>
            <w:r w:rsidRPr="007E66E7">
              <w:rPr>
                <w:rFonts w:eastAsia="Times New Roman" w:cs="Arial"/>
                <w:b/>
                <w:noProof w:val="0"/>
                <w:color w:val="3B3838" w:themeColor="background2" w:themeShade="40"/>
                <w:lang w:eastAsia="en-GB"/>
              </w:rPr>
              <w:t>Give here brief details of any items that the examiner wishes to disclose</w:t>
            </w:r>
          </w:p>
        </w:tc>
        <w:tc>
          <w:tcPr>
            <w:tcW w:w="7611" w:type="dxa"/>
            <w:tcBorders>
              <w:top w:val="single" w:sz="4" w:space="0" w:color="auto"/>
              <w:left w:val="single" w:sz="4" w:space="0" w:color="auto"/>
              <w:bottom w:val="single" w:sz="4" w:space="0" w:color="auto"/>
              <w:right w:val="single" w:sz="4" w:space="0" w:color="auto"/>
            </w:tcBorders>
          </w:tcPr>
          <w:p w14:paraId="10344D51" w14:textId="77777777" w:rsidR="007E66E7" w:rsidRPr="007E66E7" w:rsidRDefault="007E66E7" w:rsidP="007E66E7">
            <w:pPr>
              <w:numPr>
                <w:ilvl w:val="12"/>
                <w:numId w:val="0"/>
              </w:numPr>
              <w:spacing w:after="0" w:line="240" w:lineRule="auto"/>
              <w:rPr>
                <w:rFonts w:ascii="Arial" w:eastAsia="Times New Roman" w:hAnsi="Arial" w:cs="Arial"/>
                <w:noProof w:val="0"/>
                <w:color w:val="3B3838" w:themeColor="background2" w:themeShade="40"/>
                <w:lang w:eastAsia="en-GB"/>
              </w:rPr>
            </w:pPr>
          </w:p>
          <w:p w14:paraId="4186E149" w14:textId="77777777" w:rsidR="007E66E7" w:rsidRPr="007E66E7" w:rsidRDefault="007E66E7" w:rsidP="007E66E7">
            <w:pPr>
              <w:numPr>
                <w:ilvl w:val="12"/>
                <w:numId w:val="0"/>
              </w:numPr>
              <w:spacing w:after="0" w:line="240" w:lineRule="auto"/>
              <w:rPr>
                <w:rFonts w:ascii="Arial" w:eastAsia="Times New Roman" w:hAnsi="Arial" w:cs="Arial"/>
                <w:noProof w:val="0"/>
                <w:color w:val="3B3838" w:themeColor="background2" w:themeShade="40"/>
                <w:lang w:eastAsia="en-GB"/>
              </w:rPr>
            </w:pPr>
          </w:p>
          <w:p w14:paraId="6E7D8495" w14:textId="77777777" w:rsidR="007E66E7" w:rsidRPr="007E66E7" w:rsidRDefault="007E66E7" w:rsidP="007E66E7">
            <w:pPr>
              <w:numPr>
                <w:ilvl w:val="12"/>
                <w:numId w:val="0"/>
              </w:numPr>
              <w:spacing w:after="0" w:line="240" w:lineRule="auto"/>
              <w:rPr>
                <w:rFonts w:ascii="Arial" w:eastAsia="Times New Roman" w:hAnsi="Arial" w:cs="Arial"/>
                <w:noProof w:val="0"/>
                <w:color w:val="3B3838" w:themeColor="background2" w:themeShade="40"/>
                <w:lang w:eastAsia="en-GB"/>
              </w:rPr>
            </w:pPr>
          </w:p>
          <w:p w14:paraId="60544AE1" w14:textId="77777777" w:rsidR="007E66E7" w:rsidRPr="007E66E7" w:rsidRDefault="007E66E7" w:rsidP="007E66E7">
            <w:pPr>
              <w:numPr>
                <w:ilvl w:val="12"/>
                <w:numId w:val="0"/>
              </w:numPr>
              <w:spacing w:after="0" w:line="240" w:lineRule="auto"/>
              <w:rPr>
                <w:rFonts w:ascii="Arial" w:eastAsia="Times New Roman" w:hAnsi="Arial" w:cs="Arial"/>
                <w:noProof w:val="0"/>
                <w:color w:val="3B3838" w:themeColor="background2" w:themeShade="40"/>
                <w:lang w:eastAsia="en-GB"/>
              </w:rPr>
            </w:pPr>
          </w:p>
        </w:tc>
      </w:tr>
    </w:tbl>
    <w:p w14:paraId="773008C3" w14:textId="77777777" w:rsidR="007E66E7" w:rsidRPr="007E66E7" w:rsidRDefault="007E66E7" w:rsidP="007E66E7">
      <w:pPr>
        <w:spacing w:after="0" w:line="240" w:lineRule="auto"/>
        <w:rPr>
          <w:rFonts w:ascii="Arial" w:eastAsia="Times New Roman" w:hAnsi="Arial" w:cs="Times New Roman"/>
          <w:noProof w:val="0"/>
          <w:szCs w:val="20"/>
          <w:lang w:eastAsia="en-GB"/>
        </w:rPr>
      </w:pPr>
    </w:p>
    <w:p w14:paraId="08CD1E0C" w14:textId="77777777" w:rsidR="00AF432C" w:rsidRDefault="001700DB"/>
    <w:sectPr w:rsidR="00AF432C" w:rsidSect="007E66E7">
      <w:pgSz w:w="11906" w:h="16838" w:code="9"/>
      <w:pgMar w:top="567" w:right="510"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8034D" w14:textId="77777777" w:rsidR="007E66E7" w:rsidRDefault="007E66E7" w:rsidP="007E66E7">
      <w:pPr>
        <w:spacing w:after="0" w:line="240" w:lineRule="auto"/>
      </w:pPr>
      <w:r>
        <w:separator/>
      </w:r>
    </w:p>
  </w:endnote>
  <w:endnote w:type="continuationSeparator" w:id="0">
    <w:p w14:paraId="69180F0A" w14:textId="77777777" w:rsidR="007E66E7" w:rsidRDefault="007E66E7" w:rsidP="007E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Light">
    <w:altName w:val="Franklin Gothic Medium Cond"/>
    <w:charset w:val="00"/>
    <w:family w:val="auto"/>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679EB" w14:textId="77777777" w:rsidR="007E66E7" w:rsidRDefault="007E66E7" w:rsidP="007E66E7">
      <w:pPr>
        <w:spacing w:after="0" w:line="240" w:lineRule="auto"/>
      </w:pPr>
      <w:r>
        <w:separator/>
      </w:r>
    </w:p>
  </w:footnote>
  <w:footnote w:type="continuationSeparator" w:id="0">
    <w:p w14:paraId="6E6A5A98" w14:textId="77777777" w:rsidR="007E66E7" w:rsidRDefault="007E66E7" w:rsidP="007E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7003" w14:textId="03DC2499" w:rsidR="007E66E7" w:rsidRPr="00C3799A" w:rsidRDefault="007E66E7" w:rsidP="00D67B82">
    <w:pPr>
      <w:pStyle w:val="Header"/>
      <w:rPr>
        <w:rFonts w:asciiTheme="minorHAnsi" w:hAnsiTheme="minorHAnsi"/>
        <w:b/>
        <w:color w:val="7B7B7B" w:themeColor="accent3" w:themeShade="BF"/>
        <w:sz w:val="44"/>
        <w:szCs w:val="44"/>
      </w:rPr>
    </w:pPr>
    <w:r w:rsidRPr="00C3799A">
      <w:rPr>
        <w:rFonts w:asciiTheme="minorHAnsi" w:hAnsiTheme="minorHAnsi"/>
        <w:b/>
        <w:color w:val="7B7B7B" w:themeColor="accent3" w:themeShade="BF"/>
        <w:sz w:val="44"/>
        <w:szCs w:val="44"/>
      </w:rPr>
      <w:t>Independent Examiner’s Report</w:t>
    </w:r>
    <w:r w:rsidR="001700DB">
      <w:rPr>
        <w:rFonts w:asciiTheme="minorHAnsi" w:hAnsiTheme="minorHAnsi"/>
        <w:b/>
        <w:color w:val="7B7B7B" w:themeColor="accent3" w:themeShade="BF"/>
        <w:sz w:val="44"/>
        <w:szCs w:val="44"/>
      </w:rPr>
      <w:t xml:space="preserve"> </w:t>
    </w:r>
    <w:r w:rsidR="001700DB" w:rsidRPr="001700DB">
      <w:rPr>
        <w:rFonts w:asciiTheme="minorHAnsi" w:hAnsiTheme="minorHAnsi"/>
        <w:bCs/>
        <w:color w:val="7B7B7B" w:themeColor="accent3" w:themeShade="BF"/>
        <w:sz w:val="22"/>
        <w:szCs w:val="22"/>
      </w:rPr>
      <w:t>double-click</w:t>
    </w:r>
    <w:r w:rsidR="001700DB">
      <w:rPr>
        <w:rFonts w:asciiTheme="minorHAnsi" w:hAnsiTheme="minorHAnsi"/>
        <w:bCs/>
        <w:color w:val="7B7B7B" w:themeColor="accent3" w:themeShade="BF"/>
        <w:sz w:val="22"/>
        <w:szCs w:val="22"/>
      </w:rPr>
      <w:t xml:space="preserve"> here</w:t>
    </w:r>
    <w:r w:rsidR="001700DB">
      <w:rPr>
        <w:rFonts w:asciiTheme="minorHAnsi" w:hAnsiTheme="minorHAnsi"/>
        <w:b/>
        <w:color w:val="7B7B7B" w:themeColor="accent3" w:themeShade="BF"/>
        <w:sz w:val="44"/>
        <w:szCs w:val="44"/>
      </w:rPr>
      <w:t xml:space="preserve"> </w:t>
    </w:r>
    <w:r w:rsidR="001700DB" w:rsidRPr="001700DB">
      <w:rPr>
        <w:rFonts w:asciiTheme="minorHAnsi" w:hAnsiTheme="minorHAnsi"/>
        <w:b/>
        <w:color w:val="7B7B7B" w:themeColor="accent3" w:themeShade="BF"/>
        <w:sz w:val="20"/>
        <w:szCs w:val="20"/>
      </w:rPr>
      <w:t>to change the wording</w:t>
    </w:r>
  </w:p>
  <w:p w14:paraId="68C1D4C4" w14:textId="77777777" w:rsidR="007E66E7" w:rsidRPr="00C3799A" w:rsidRDefault="007E66E7" w:rsidP="00D67B82">
    <w:pPr>
      <w:pStyle w:val="Header"/>
      <w:rPr>
        <w:rFonts w:asciiTheme="minorHAnsi" w:hAnsiTheme="minorHAnsi"/>
        <w:b/>
        <w:color w:val="7B7B7B" w:themeColor="accent3" w:themeShade="BF"/>
        <w:sz w:val="44"/>
        <w:szCs w:val="44"/>
      </w:rPr>
    </w:pPr>
    <w:r w:rsidRPr="00C3799A">
      <w:rPr>
        <w:rFonts w:asciiTheme="minorHAnsi" w:hAnsiTheme="minorHAnsi"/>
        <w:b/>
        <w:color w:val="7B7B7B" w:themeColor="accent3" w:themeShade="BF"/>
        <w:sz w:val="44"/>
        <w:szCs w:val="44"/>
      </w:rPr>
      <w:t>to the PCC of St Jude’s Church, Chicheston</w:t>
    </w:r>
  </w:p>
  <w:p w14:paraId="3C9BBE02" w14:textId="3DD51EA1" w:rsidR="001700DB" w:rsidRPr="00C3799A" w:rsidRDefault="007E66E7" w:rsidP="00047643">
    <w:pPr>
      <w:pStyle w:val="Header"/>
      <w:spacing w:after="120"/>
      <w:rPr>
        <w:rFonts w:asciiTheme="minorHAnsi" w:hAnsiTheme="minorHAnsi"/>
        <w:b/>
        <w:color w:val="7B7B7B" w:themeColor="accent3" w:themeShade="BF"/>
        <w:sz w:val="44"/>
        <w:szCs w:val="44"/>
      </w:rPr>
    </w:pPr>
    <w:r w:rsidRPr="00C3799A">
      <w:rPr>
        <w:rFonts w:asciiTheme="minorHAnsi" w:hAnsiTheme="minorHAnsi"/>
        <w:b/>
        <w:color w:val="7B7B7B" w:themeColor="accent3" w:themeShade="BF"/>
        <w:sz w:val="44"/>
        <w:szCs w:val="44"/>
      </w:rPr>
      <w:t>for the Year Ended 31</w:t>
    </w:r>
    <w:r w:rsidRPr="00C3799A">
      <w:rPr>
        <w:rFonts w:asciiTheme="minorHAnsi" w:hAnsiTheme="minorHAnsi"/>
        <w:b/>
        <w:color w:val="7B7B7B" w:themeColor="accent3" w:themeShade="BF"/>
        <w:sz w:val="44"/>
        <w:szCs w:val="44"/>
        <w:vertAlign w:val="superscript"/>
      </w:rPr>
      <w:t>st</w:t>
    </w:r>
    <w:r w:rsidR="00CA0E01">
      <w:rPr>
        <w:rFonts w:asciiTheme="minorHAnsi" w:hAnsiTheme="minorHAnsi"/>
        <w:b/>
        <w:color w:val="7B7B7B" w:themeColor="accent3" w:themeShade="BF"/>
        <w:sz w:val="44"/>
        <w:szCs w:val="44"/>
      </w:rPr>
      <w:t xml:space="preserve"> </w:t>
    </w:r>
    <w:proofErr w:type="gramStart"/>
    <w:r w:rsidR="00CA0E01">
      <w:rPr>
        <w:rFonts w:asciiTheme="minorHAnsi" w:hAnsiTheme="minorHAnsi"/>
        <w:b/>
        <w:color w:val="7B7B7B" w:themeColor="accent3" w:themeShade="BF"/>
        <w:sz w:val="44"/>
        <w:szCs w:val="44"/>
      </w:rPr>
      <w:t>December,</w:t>
    </w:r>
    <w:proofErr w:type="gramEnd"/>
    <w:r w:rsidR="00CA0E01">
      <w:rPr>
        <w:rFonts w:asciiTheme="minorHAnsi" w:hAnsiTheme="minorHAnsi"/>
        <w:b/>
        <w:color w:val="7B7B7B" w:themeColor="accent3" w:themeShade="BF"/>
        <w:sz w:val="44"/>
        <w:szCs w:val="44"/>
      </w:rPr>
      <w:t xml:space="preserve"> 20</w:t>
    </w:r>
    <w:r w:rsidR="001700DB">
      <w:rPr>
        <w:rFonts w:asciiTheme="minorHAnsi" w:hAnsiTheme="minorHAnsi"/>
        <w:b/>
        <w:color w:val="7B7B7B" w:themeColor="accent3" w:themeShade="BF"/>
        <w:sz w:val="44"/>
        <w:szCs w:val="4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405"/>
    <w:multiLevelType w:val="hybridMultilevel"/>
    <w:tmpl w:val="54EA0C2C"/>
    <w:lvl w:ilvl="0" w:tplc="2BEA24E4">
      <w:start w:val="1"/>
      <w:numFmt w:val="decimal"/>
      <w:lvlText w:val="%1."/>
      <w:lvlJc w:val="left"/>
      <w:pPr>
        <w:ind w:left="1080" w:hanging="720"/>
      </w:pPr>
      <w:rPr>
        <w:rFonts w:hint="default"/>
      </w:rPr>
    </w:lvl>
    <w:lvl w:ilvl="1" w:tplc="368CE1A2">
      <w:start w:val="1"/>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EC9"/>
    <w:multiLevelType w:val="hybridMultilevel"/>
    <w:tmpl w:val="910CE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F11B8"/>
    <w:multiLevelType w:val="hybridMultilevel"/>
    <w:tmpl w:val="EE0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E7"/>
    <w:rsid w:val="000C76EB"/>
    <w:rsid w:val="000F3C92"/>
    <w:rsid w:val="00120D90"/>
    <w:rsid w:val="00125AF3"/>
    <w:rsid w:val="001700DB"/>
    <w:rsid w:val="001808DE"/>
    <w:rsid w:val="00283879"/>
    <w:rsid w:val="00367529"/>
    <w:rsid w:val="00394E83"/>
    <w:rsid w:val="003E0536"/>
    <w:rsid w:val="004526D0"/>
    <w:rsid w:val="0056163B"/>
    <w:rsid w:val="005A729B"/>
    <w:rsid w:val="00661D67"/>
    <w:rsid w:val="006A27EE"/>
    <w:rsid w:val="006B5628"/>
    <w:rsid w:val="006D0F15"/>
    <w:rsid w:val="0071507A"/>
    <w:rsid w:val="00792412"/>
    <w:rsid w:val="007E66E7"/>
    <w:rsid w:val="00826422"/>
    <w:rsid w:val="00893F05"/>
    <w:rsid w:val="008D28C7"/>
    <w:rsid w:val="008E7D11"/>
    <w:rsid w:val="00927428"/>
    <w:rsid w:val="009E359F"/>
    <w:rsid w:val="00A24715"/>
    <w:rsid w:val="00A756BE"/>
    <w:rsid w:val="00B56664"/>
    <w:rsid w:val="00BB0CB1"/>
    <w:rsid w:val="00C3799A"/>
    <w:rsid w:val="00CA0E01"/>
    <w:rsid w:val="00D17B39"/>
    <w:rsid w:val="00D477CE"/>
    <w:rsid w:val="00D81428"/>
    <w:rsid w:val="00DE6749"/>
    <w:rsid w:val="00DF6844"/>
    <w:rsid w:val="00E753CF"/>
    <w:rsid w:val="00E83852"/>
    <w:rsid w:val="00E9536F"/>
    <w:rsid w:val="00EA7A4A"/>
    <w:rsid w:val="00EE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3960"/>
  <w15:chartTrackingRefBased/>
  <w15:docId w15:val="{B40B36DB-7192-469D-B734-935CCF0D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6E7"/>
    <w:pPr>
      <w:tabs>
        <w:tab w:val="center" w:pos="4513"/>
        <w:tab w:val="right" w:pos="9026"/>
      </w:tabs>
      <w:spacing w:after="0" w:line="240" w:lineRule="auto"/>
    </w:pPr>
    <w:rPr>
      <w:rFonts w:ascii="Times New Roman" w:eastAsia="Times New Roman" w:hAnsi="Times New Roman" w:cs="Times New Roman"/>
      <w:noProof w:val="0"/>
      <w:sz w:val="24"/>
      <w:szCs w:val="24"/>
    </w:rPr>
  </w:style>
  <w:style w:type="character" w:customStyle="1" w:styleId="HeaderChar">
    <w:name w:val="Header Char"/>
    <w:basedOn w:val="DefaultParagraphFont"/>
    <w:link w:val="Header"/>
    <w:uiPriority w:val="99"/>
    <w:rsid w:val="007E66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9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dc:creator>
  <cp:keywords/>
  <dc:description/>
  <cp:lastModifiedBy>John Kemp</cp:lastModifiedBy>
  <cp:revision>6</cp:revision>
  <dcterms:created xsi:type="dcterms:W3CDTF">2017-04-12T14:30:00Z</dcterms:created>
  <dcterms:modified xsi:type="dcterms:W3CDTF">2020-11-12T15:55:00Z</dcterms:modified>
</cp:coreProperties>
</file>